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F7CD" w14:textId="2FBD6D07" w:rsidR="007E4668" w:rsidRPr="00EB7F9F" w:rsidRDefault="00107B86" w:rsidP="00E61C45">
      <w:pPr>
        <w:jc w:val="both"/>
        <w:rPr>
          <w:b/>
          <w:sz w:val="28"/>
          <w:szCs w:val="28"/>
        </w:rPr>
      </w:pPr>
      <w:bookmarkStart w:id="0" w:name="_GoBack"/>
      <w:bookmarkEnd w:id="0"/>
      <w:r w:rsidRPr="00EB7F9F">
        <w:rPr>
          <w:b/>
          <w:sz w:val="28"/>
          <w:szCs w:val="28"/>
        </w:rPr>
        <w:t xml:space="preserve">Report </w:t>
      </w:r>
      <w:r w:rsidR="00341705">
        <w:rPr>
          <w:b/>
          <w:sz w:val="28"/>
          <w:szCs w:val="28"/>
        </w:rPr>
        <w:t xml:space="preserve">of the accounting officer to </w:t>
      </w:r>
      <w:r w:rsidRPr="00EB7F9F">
        <w:rPr>
          <w:b/>
          <w:sz w:val="28"/>
          <w:szCs w:val="28"/>
        </w:rPr>
        <w:t>ABC Close Corporation</w:t>
      </w:r>
    </w:p>
    <w:p w14:paraId="4D1F2F44" w14:textId="77777777" w:rsidR="00621F41" w:rsidRPr="00621F41" w:rsidRDefault="00621F41" w:rsidP="00621F41">
      <w:pPr>
        <w:jc w:val="both"/>
        <w:rPr>
          <w:lang w:val="en-US"/>
        </w:rPr>
      </w:pPr>
      <w:r w:rsidRPr="00621F41">
        <w:rPr>
          <w:i/>
          <w:iCs/>
          <w:lang w:val="en-US"/>
        </w:rPr>
        <w:t>Part I</w:t>
      </w:r>
    </w:p>
    <w:p w14:paraId="0A47F347" w14:textId="054C95F5" w:rsidR="00341705" w:rsidRDefault="00621F41" w:rsidP="00621F41">
      <w:pPr>
        <w:jc w:val="both"/>
        <w:rPr>
          <w:lang w:val="en-US"/>
        </w:rPr>
      </w:pPr>
      <w:r w:rsidRPr="00621F41">
        <w:rPr>
          <w:lang w:val="en-US"/>
        </w:rPr>
        <w:t xml:space="preserve">We have performed the duties of accounting officer to </w:t>
      </w:r>
      <w:r w:rsidR="00341705" w:rsidRPr="00EB7F9F">
        <w:rPr>
          <w:b/>
          <w:sz w:val="28"/>
          <w:szCs w:val="28"/>
        </w:rPr>
        <w:t>ABC Close Corporation</w:t>
      </w:r>
      <w:r w:rsidR="00341705" w:rsidRPr="00621F41">
        <w:rPr>
          <w:lang w:val="en-US"/>
        </w:rPr>
        <w:t xml:space="preserve"> </w:t>
      </w:r>
      <w:r w:rsidRPr="00621F41">
        <w:rPr>
          <w:lang w:val="en-US"/>
        </w:rPr>
        <w:t>for</w:t>
      </w:r>
      <w:r w:rsidR="00341705">
        <w:rPr>
          <w:lang w:val="en-US"/>
        </w:rPr>
        <w:t xml:space="preserve"> the year ended 28 February 20xx</w:t>
      </w:r>
      <w:r w:rsidRPr="00621F41">
        <w:rPr>
          <w:lang w:val="en-US"/>
        </w:rPr>
        <w:t xml:space="preserve"> as required by Section 62 of the Close Corporations Act, 1984. The annual financial statements set out on pages ... to … </w:t>
      </w:r>
      <w:proofErr w:type="gramStart"/>
      <w:r w:rsidRPr="00621F41">
        <w:rPr>
          <w:lang w:val="en-US"/>
        </w:rPr>
        <w:t>are</w:t>
      </w:r>
      <w:proofErr w:type="gramEnd"/>
      <w:r w:rsidRPr="00621F41">
        <w:rPr>
          <w:lang w:val="en-US"/>
        </w:rPr>
        <w:t xml:space="preserve"> the responsibility of the members. No assurance is required by the Act to be carried out and </w:t>
      </w:r>
      <w:r w:rsidR="00341705">
        <w:rPr>
          <w:lang w:val="en-US"/>
        </w:rPr>
        <w:t xml:space="preserve">no </w:t>
      </w:r>
      <w:r w:rsidRPr="00621F41">
        <w:rPr>
          <w:lang w:val="en-US"/>
        </w:rPr>
        <w:t>assurance</w:t>
      </w:r>
      <w:r w:rsidR="00341705">
        <w:rPr>
          <w:lang w:val="en-US"/>
        </w:rPr>
        <w:t xml:space="preserve"> engagement</w:t>
      </w:r>
      <w:r w:rsidRPr="00621F41">
        <w:rPr>
          <w:lang w:val="en-US"/>
        </w:rPr>
        <w:t xml:space="preserve"> was conducted. Accordingly, we do not imply or express an opinion or any other form of assurance on the annual financial statements.</w:t>
      </w:r>
    </w:p>
    <w:p w14:paraId="7A746BD2" w14:textId="3F5AB848" w:rsidR="00341705" w:rsidRDefault="00341705" w:rsidP="00341705">
      <w:pPr>
        <w:jc w:val="both"/>
        <w:rPr>
          <w:lang w:val="en-US"/>
        </w:rPr>
      </w:pPr>
      <w:r w:rsidRPr="00341705">
        <w:rPr>
          <w:lang w:val="en-US"/>
        </w:rPr>
        <w:t xml:space="preserve">We report, as required in terms of section 62(1) of the </w:t>
      </w:r>
      <w:r>
        <w:rPr>
          <w:lang w:val="en-US"/>
        </w:rPr>
        <w:t xml:space="preserve">Close Corporations Act of South </w:t>
      </w:r>
      <w:r w:rsidRPr="00341705">
        <w:rPr>
          <w:lang w:val="en-US"/>
        </w:rPr>
        <w:t xml:space="preserve">Africa, </w:t>
      </w:r>
      <w:r w:rsidR="00567064">
        <w:rPr>
          <w:lang w:val="en-US"/>
        </w:rPr>
        <w:t>having</w:t>
      </w:r>
      <w:r w:rsidR="00567064" w:rsidRPr="00567064">
        <w:rPr>
          <w:lang w:val="en-US"/>
        </w:rPr>
        <w:t xml:space="preserve"> </w:t>
      </w:r>
      <w:r w:rsidR="00567064">
        <w:rPr>
          <w:lang w:val="en-US"/>
        </w:rPr>
        <w:t>adopted</w:t>
      </w:r>
      <w:r w:rsidR="00567064" w:rsidRPr="00567064">
        <w:rPr>
          <w:lang w:val="en-US"/>
        </w:rPr>
        <w:t xml:space="preserve"> such procedures and conducting such enquiries in relation to the accounting records as we have agreed with you</w:t>
      </w:r>
      <w:r w:rsidRPr="00341705">
        <w:rPr>
          <w:lang w:val="en-US"/>
        </w:rPr>
        <w:t>, that:</w:t>
      </w:r>
    </w:p>
    <w:p w14:paraId="154DA5BA" w14:textId="0172ECD4" w:rsidR="00567064" w:rsidRDefault="00341705" w:rsidP="00341705">
      <w:pPr>
        <w:pStyle w:val="ListParagraph"/>
        <w:numPr>
          <w:ilvl w:val="0"/>
          <w:numId w:val="9"/>
        </w:numPr>
        <w:jc w:val="both"/>
        <w:rPr>
          <w:lang w:val="en-US"/>
        </w:rPr>
      </w:pPr>
      <w:proofErr w:type="gramStart"/>
      <w:r w:rsidRPr="00341705">
        <w:rPr>
          <w:lang w:val="en-US"/>
        </w:rPr>
        <w:t>the</w:t>
      </w:r>
      <w:proofErr w:type="gramEnd"/>
      <w:r w:rsidRPr="00341705">
        <w:rPr>
          <w:lang w:val="en-US"/>
        </w:rPr>
        <w:t xml:space="preserve"> annual financial statements are in </w:t>
      </w:r>
      <w:r w:rsidR="00567064">
        <w:rPr>
          <w:lang w:val="en-US"/>
        </w:rPr>
        <w:t>[</w:t>
      </w:r>
      <w:r w:rsidRPr="00341705">
        <w:rPr>
          <w:lang w:val="en-US"/>
        </w:rPr>
        <w:t>agreeme</w:t>
      </w:r>
      <w:r w:rsidR="00567064">
        <w:rPr>
          <w:lang w:val="en-US"/>
        </w:rPr>
        <w:t xml:space="preserve">nt/not in agreement] with the accounting records, </w:t>
      </w:r>
      <w:r w:rsidR="00567064" w:rsidRPr="00567064">
        <w:rPr>
          <w:lang w:val="en-US"/>
        </w:rPr>
        <w:t>summarized</w:t>
      </w:r>
      <w:r w:rsidRPr="00567064">
        <w:rPr>
          <w:lang w:val="en-US"/>
        </w:rPr>
        <w:t xml:space="preserve"> in the manner required by </w:t>
      </w:r>
      <w:r w:rsidR="00567064">
        <w:rPr>
          <w:lang w:val="en-US"/>
        </w:rPr>
        <w:t xml:space="preserve">section 58(2)(d) of the Act; and </w:t>
      </w:r>
    </w:p>
    <w:p w14:paraId="7560EB70" w14:textId="34BEFFF5" w:rsidR="00341705" w:rsidRPr="00567064" w:rsidRDefault="00341705" w:rsidP="00621F41">
      <w:pPr>
        <w:pStyle w:val="ListParagraph"/>
        <w:numPr>
          <w:ilvl w:val="0"/>
          <w:numId w:val="9"/>
        </w:numPr>
        <w:jc w:val="both"/>
        <w:rPr>
          <w:lang w:val="en-US"/>
        </w:rPr>
      </w:pPr>
      <w:proofErr w:type="gramStart"/>
      <w:r w:rsidRPr="00567064">
        <w:rPr>
          <w:lang w:val="en-US"/>
        </w:rPr>
        <w:t>the</w:t>
      </w:r>
      <w:proofErr w:type="gramEnd"/>
      <w:r w:rsidRPr="00567064">
        <w:rPr>
          <w:lang w:val="en-US"/>
        </w:rPr>
        <w:t xml:space="preserve"> accounting policies presented to us as having been applied in the</w:t>
      </w:r>
      <w:r w:rsidR="00567064">
        <w:rPr>
          <w:lang w:val="en-US"/>
        </w:rPr>
        <w:t xml:space="preserve"> </w:t>
      </w:r>
      <w:r w:rsidRPr="00567064">
        <w:rPr>
          <w:lang w:val="en-US"/>
        </w:rPr>
        <w:t xml:space="preserve">preparation of the annual financial statements are </w:t>
      </w:r>
      <w:r w:rsidR="00567064">
        <w:rPr>
          <w:lang w:val="en-US"/>
        </w:rPr>
        <w:t>[</w:t>
      </w:r>
      <w:r w:rsidRPr="00567064">
        <w:rPr>
          <w:lang w:val="en-US"/>
        </w:rPr>
        <w:t>appropriate</w:t>
      </w:r>
      <w:r w:rsidR="00567064">
        <w:rPr>
          <w:lang w:val="en-US"/>
        </w:rPr>
        <w:t>/not appropriate]</w:t>
      </w:r>
      <w:r w:rsidRPr="00567064">
        <w:rPr>
          <w:lang w:val="en-US"/>
        </w:rPr>
        <w:t>.</w:t>
      </w:r>
    </w:p>
    <w:p w14:paraId="1A969CDB" w14:textId="77777777" w:rsidR="00621F41" w:rsidRPr="00621F41" w:rsidRDefault="00621F41" w:rsidP="00621F41">
      <w:pPr>
        <w:jc w:val="both"/>
        <w:rPr>
          <w:lang w:val="en-US"/>
        </w:rPr>
      </w:pPr>
      <w:r w:rsidRPr="00621F41">
        <w:rPr>
          <w:i/>
          <w:iCs/>
          <w:lang w:val="en-US"/>
        </w:rPr>
        <w:t>Part II</w:t>
      </w:r>
    </w:p>
    <w:p w14:paraId="1F0C420C" w14:textId="77777777" w:rsidR="00621F41" w:rsidRPr="00621F41" w:rsidRDefault="00621F41" w:rsidP="00621F41">
      <w:pPr>
        <w:jc w:val="both"/>
        <w:rPr>
          <w:lang w:val="en-US"/>
        </w:rPr>
      </w:pPr>
      <w:r w:rsidRPr="00621F41">
        <w:rPr>
          <w:b/>
          <w:bCs/>
          <w:lang w:val="en-US"/>
        </w:rPr>
        <w:t>Scope</w:t>
      </w:r>
    </w:p>
    <w:p w14:paraId="095A5FE3" w14:textId="0B9B92B1" w:rsidR="007423E6" w:rsidRPr="007423E6" w:rsidRDefault="00341705" w:rsidP="007423E6">
      <w:pPr>
        <w:jc w:val="both"/>
        <w:rPr>
          <w:lang w:val="en-US"/>
        </w:rPr>
      </w:pPr>
      <w:r>
        <w:rPr>
          <w:lang w:val="en-US"/>
        </w:rPr>
        <w:t xml:space="preserve">We have performed the </w:t>
      </w:r>
      <w:r w:rsidR="00621F41" w:rsidRPr="00621F41">
        <w:rPr>
          <w:lang w:val="en-US"/>
        </w:rPr>
        <w:t xml:space="preserve">duties of accounting officer as required by Section 62 of the Act and dealt with in Part I of this report, </w:t>
      </w:r>
      <w:r>
        <w:rPr>
          <w:lang w:val="en-US"/>
        </w:rPr>
        <w:t xml:space="preserve">in terms of </w:t>
      </w:r>
      <w:r w:rsidR="00621F41" w:rsidRPr="00621F41">
        <w:rPr>
          <w:lang w:val="en-US"/>
        </w:rPr>
        <w:t>the procedures agreed with you and described below</w:t>
      </w:r>
      <w:r w:rsidR="007423E6">
        <w:rPr>
          <w:lang w:val="en-US"/>
        </w:rPr>
        <w:t xml:space="preserve"> and in </w:t>
      </w:r>
      <w:r w:rsidR="007423E6" w:rsidRPr="007423E6">
        <w:rPr>
          <w:lang w:val="en-US"/>
        </w:rPr>
        <w:t xml:space="preserve">accordance with the framework for accounting officer engagements as adopted by our firm. </w:t>
      </w:r>
    </w:p>
    <w:p w14:paraId="45340F6B" w14:textId="6A573636" w:rsidR="00621F41" w:rsidRPr="00621F41" w:rsidRDefault="00621F41" w:rsidP="00621F41">
      <w:pPr>
        <w:jc w:val="both"/>
        <w:rPr>
          <w:lang w:val="en-US"/>
        </w:rPr>
      </w:pPr>
      <w:r w:rsidRPr="00621F41">
        <w:rPr>
          <w:lang w:val="en-US"/>
        </w:rPr>
        <w:t xml:space="preserve">The procedures were undertaken in accordance with the International Standards on Related Services applicable to agreed-upon procedures regarding financial information (ISRS 4400). The responsibility for determining the adequacy or otherwise of the procedures agreed to be performed is that of </w:t>
      </w:r>
      <w:r w:rsidR="00341705" w:rsidRPr="00EB7F9F">
        <w:rPr>
          <w:b/>
          <w:sz w:val="28"/>
          <w:szCs w:val="28"/>
        </w:rPr>
        <w:t>ABC Close Corporation</w:t>
      </w:r>
      <w:r w:rsidRPr="00621F41">
        <w:rPr>
          <w:lang w:val="en-US"/>
        </w:rPr>
        <w:t xml:space="preserve">. The procedures were performed solely to assist you in </w:t>
      </w:r>
      <w:r w:rsidR="00341705">
        <w:rPr>
          <w:i/>
          <w:iCs/>
          <w:lang w:val="en-US"/>
        </w:rPr>
        <w:t>[state purpose e.g. complying with the requirements of the Section 62 of the Close Corporation Act, 1984]</w:t>
      </w:r>
      <w:r w:rsidRPr="00621F41">
        <w:rPr>
          <w:i/>
          <w:iCs/>
          <w:lang w:val="en-US"/>
        </w:rPr>
        <w:t xml:space="preserve"> </w:t>
      </w:r>
      <w:r w:rsidRPr="00621F41">
        <w:rPr>
          <w:lang w:val="en-US"/>
        </w:rPr>
        <w:t>and should be used by you only for this purpose</w:t>
      </w:r>
      <w:r w:rsidR="00341705">
        <w:rPr>
          <w:lang w:val="en-US"/>
        </w:rPr>
        <w:t xml:space="preserve"> </w:t>
      </w:r>
      <w:r w:rsidR="00341705" w:rsidRPr="00341705">
        <w:rPr>
          <w:lang w:val="en-US"/>
        </w:rPr>
        <w:t xml:space="preserve">and shall not </w:t>
      </w:r>
      <w:r w:rsidR="00341705">
        <w:rPr>
          <w:lang w:val="en-US"/>
        </w:rPr>
        <w:t>be distributed to other parties</w:t>
      </w:r>
      <w:r w:rsidRPr="00621F41">
        <w:rPr>
          <w:lang w:val="en-US"/>
        </w:rPr>
        <w:t xml:space="preserve">. The procedures are </w:t>
      </w:r>
      <w:r w:rsidR="00341705" w:rsidRPr="00621F41">
        <w:rPr>
          <w:lang w:val="en-US"/>
        </w:rPr>
        <w:t>summarized</w:t>
      </w:r>
      <w:r w:rsidRPr="00621F41">
        <w:rPr>
          <w:lang w:val="en-US"/>
        </w:rPr>
        <w:t xml:space="preserve"> as follows:</w:t>
      </w:r>
    </w:p>
    <w:p w14:paraId="7940533C" w14:textId="19E7B52F" w:rsidR="00621F41" w:rsidRPr="00621F41" w:rsidRDefault="00341705" w:rsidP="00621F41">
      <w:pPr>
        <w:jc w:val="both"/>
        <w:rPr>
          <w:lang w:val="en-US"/>
        </w:rPr>
      </w:pPr>
      <w:r>
        <w:rPr>
          <w:i/>
          <w:iCs/>
          <w:lang w:val="en-US"/>
        </w:rPr>
        <w:t>[</w:t>
      </w:r>
      <w:r w:rsidR="00621F41" w:rsidRPr="00621F41">
        <w:rPr>
          <w:i/>
          <w:iCs/>
          <w:lang w:val="en-US"/>
        </w:rPr>
        <w:t>Insert list of procedures</w:t>
      </w:r>
      <w:r w:rsidR="00BF7637">
        <w:rPr>
          <w:i/>
          <w:iCs/>
          <w:lang w:val="en-US"/>
        </w:rPr>
        <w:t>. Examples provided below</w:t>
      </w:r>
      <w:r>
        <w:rPr>
          <w:i/>
          <w:iCs/>
          <w:lang w:val="en-US"/>
        </w:rPr>
        <w:t>]</w:t>
      </w:r>
    </w:p>
    <w:p w14:paraId="33C61D0F" w14:textId="77777777" w:rsidR="00621F41" w:rsidRPr="00621F41" w:rsidRDefault="00621F41" w:rsidP="00621F41">
      <w:pPr>
        <w:jc w:val="both"/>
        <w:rPr>
          <w:lang w:val="en-US"/>
        </w:rPr>
      </w:pPr>
      <w:r w:rsidRPr="00621F41">
        <w:rPr>
          <w:i/>
          <w:iCs/>
          <w:lang w:val="en-US"/>
        </w:rPr>
        <w:t>Examples:</w:t>
      </w:r>
    </w:p>
    <w:p w14:paraId="52559074" w14:textId="77777777" w:rsidR="00621F41" w:rsidRPr="00621F41" w:rsidRDefault="00621F41" w:rsidP="00621F41">
      <w:pPr>
        <w:numPr>
          <w:ilvl w:val="0"/>
          <w:numId w:val="7"/>
        </w:numPr>
        <w:jc w:val="both"/>
      </w:pPr>
      <w:r w:rsidRPr="00621F41">
        <w:rPr>
          <w:i/>
          <w:iCs/>
        </w:rPr>
        <w:t xml:space="preserve">We obtained and checked the trial balance as at (date) prepared by ABC Close Corporation, and we compared the line items and totals to the financial statements. </w:t>
      </w:r>
    </w:p>
    <w:p w14:paraId="3793A156" w14:textId="18C3B9B6" w:rsidR="00621F41" w:rsidRPr="00621F41" w:rsidRDefault="00341705" w:rsidP="00621F41">
      <w:pPr>
        <w:numPr>
          <w:ilvl w:val="0"/>
          <w:numId w:val="7"/>
        </w:numPr>
        <w:jc w:val="both"/>
      </w:pPr>
      <w:r>
        <w:rPr>
          <w:i/>
          <w:iCs/>
        </w:rPr>
        <w:t>We c</w:t>
      </w:r>
      <w:r w:rsidR="00621F41" w:rsidRPr="00621F41">
        <w:rPr>
          <w:i/>
          <w:iCs/>
        </w:rPr>
        <w:t xml:space="preserve">ompare the closing and opening balances of prior and current financial years; </w:t>
      </w:r>
    </w:p>
    <w:p w14:paraId="35A12900" w14:textId="558055A7" w:rsidR="00621F41" w:rsidRPr="00621F41" w:rsidRDefault="00341705" w:rsidP="00621F41">
      <w:pPr>
        <w:numPr>
          <w:ilvl w:val="0"/>
          <w:numId w:val="7"/>
        </w:numPr>
        <w:jc w:val="both"/>
      </w:pPr>
      <w:r>
        <w:rPr>
          <w:i/>
          <w:iCs/>
        </w:rPr>
        <w:lastRenderedPageBreak/>
        <w:t>We o</w:t>
      </w:r>
      <w:r w:rsidR="00621F41" w:rsidRPr="00621F41">
        <w:rPr>
          <w:i/>
          <w:iCs/>
        </w:rPr>
        <w:t>btain</w:t>
      </w:r>
      <w:r>
        <w:rPr>
          <w:i/>
          <w:iCs/>
        </w:rPr>
        <w:t>ed</w:t>
      </w:r>
      <w:r w:rsidR="00621F41" w:rsidRPr="00621F41">
        <w:rPr>
          <w:i/>
          <w:iCs/>
        </w:rPr>
        <w:t xml:space="preserve"> the bank reconciliations and compare</w:t>
      </w:r>
      <w:r>
        <w:rPr>
          <w:i/>
          <w:iCs/>
        </w:rPr>
        <w:t>d</w:t>
      </w:r>
      <w:r w:rsidR="00621F41" w:rsidRPr="00621F41">
        <w:rPr>
          <w:i/>
          <w:iCs/>
        </w:rPr>
        <w:t xml:space="preserve"> the balance with the amount reflected on the trail balance; </w:t>
      </w:r>
    </w:p>
    <w:p w14:paraId="02AEA6CB" w14:textId="3BCD43AB" w:rsidR="00621F41" w:rsidRPr="00621F41" w:rsidRDefault="00341705" w:rsidP="00621F41">
      <w:pPr>
        <w:numPr>
          <w:ilvl w:val="0"/>
          <w:numId w:val="7"/>
        </w:numPr>
        <w:jc w:val="both"/>
      </w:pPr>
      <w:r>
        <w:rPr>
          <w:i/>
          <w:iCs/>
        </w:rPr>
        <w:t>We o</w:t>
      </w:r>
      <w:r w:rsidR="00621F41" w:rsidRPr="00621F41">
        <w:rPr>
          <w:i/>
          <w:iCs/>
        </w:rPr>
        <w:t>btain</w:t>
      </w:r>
      <w:r>
        <w:rPr>
          <w:i/>
          <w:iCs/>
        </w:rPr>
        <w:t>ed</w:t>
      </w:r>
      <w:r w:rsidR="00621F41" w:rsidRPr="00621F41">
        <w:rPr>
          <w:i/>
          <w:iCs/>
        </w:rPr>
        <w:t xml:space="preserve"> a schedule of receivables and determine</w:t>
      </w:r>
      <w:r>
        <w:rPr>
          <w:i/>
          <w:iCs/>
        </w:rPr>
        <w:t>d</w:t>
      </w:r>
      <w:r w:rsidR="00621F41" w:rsidRPr="00621F41">
        <w:rPr>
          <w:i/>
          <w:iCs/>
        </w:rPr>
        <w:t xml:space="preserve"> whether the total agrees with the trial balance; </w:t>
      </w:r>
    </w:p>
    <w:p w14:paraId="0141594C" w14:textId="69339B1D" w:rsidR="00621F41" w:rsidRPr="00621F41" w:rsidRDefault="00621F41" w:rsidP="00621F41">
      <w:pPr>
        <w:numPr>
          <w:ilvl w:val="0"/>
          <w:numId w:val="7"/>
        </w:numPr>
        <w:jc w:val="both"/>
      </w:pPr>
      <w:r w:rsidRPr="00621F41">
        <w:rPr>
          <w:i/>
          <w:iCs/>
        </w:rPr>
        <w:t xml:space="preserve">Where applicable </w:t>
      </w:r>
      <w:r w:rsidR="00341705">
        <w:rPr>
          <w:i/>
          <w:iCs/>
        </w:rPr>
        <w:t xml:space="preserve">we </w:t>
      </w:r>
      <w:r w:rsidRPr="00621F41">
        <w:rPr>
          <w:i/>
          <w:iCs/>
        </w:rPr>
        <w:t>obtain</w:t>
      </w:r>
      <w:r w:rsidR="00341705">
        <w:rPr>
          <w:i/>
          <w:iCs/>
        </w:rPr>
        <w:t>ed</w:t>
      </w:r>
      <w:r w:rsidRPr="00621F41">
        <w:rPr>
          <w:i/>
          <w:iCs/>
        </w:rPr>
        <w:t xml:space="preserve"> the inventory list and determine</w:t>
      </w:r>
      <w:r w:rsidR="00341705">
        <w:rPr>
          <w:i/>
          <w:iCs/>
        </w:rPr>
        <w:t>d</w:t>
      </w:r>
      <w:r w:rsidRPr="00621F41">
        <w:rPr>
          <w:i/>
          <w:iCs/>
        </w:rPr>
        <w:t xml:space="preserve"> whether: (a) the total agrees with the balance in the trial balance; and obtain</w:t>
      </w:r>
      <w:r w:rsidR="00341705">
        <w:rPr>
          <w:i/>
          <w:iCs/>
        </w:rPr>
        <w:t>ed</w:t>
      </w:r>
      <w:r w:rsidRPr="00621F41">
        <w:rPr>
          <w:i/>
          <w:iCs/>
        </w:rPr>
        <w:t xml:space="preserve"> confirmation that the list is based on a physical count of inventory; </w:t>
      </w:r>
    </w:p>
    <w:p w14:paraId="430B57C8" w14:textId="22EF2E88" w:rsidR="00621F41" w:rsidRPr="00621F41" w:rsidRDefault="00341705" w:rsidP="00621F41">
      <w:pPr>
        <w:numPr>
          <w:ilvl w:val="0"/>
          <w:numId w:val="7"/>
        </w:numPr>
        <w:jc w:val="both"/>
      </w:pPr>
      <w:r>
        <w:rPr>
          <w:i/>
          <w:iCs/>
        </w:rPr>
        <w:t>We o</w:t>
      </w:r>
      <w:r w:rsidR="00621F41" w:rsidRPr="00621F41">
        <w:rPr>
          <w:i/>
          <w:iCs/>
        </w:rPr>
        <w:t>btain a schedule of the property, plant and equipment indicating the cost and accumulated depreciation and determine</w:t>
      </w:r>
      <w:r>
        <w:rPr>
          <w:i/>
          <w:iCs/>
        </w:rPr>
        <w:t>d</w:t>
      </w:r>
      <w:r w:rsidR="00621F41" w:rsidRPr="00621F41">
        <w:rPr>
          <w:i/>
          <w:iCs/>
        </w:rPr>
        <w:t xml:space="preserve"> whether it agrees with the trial balance; </w:t>
      </w:r>
    </w:p>
    <w:p w14:paraId="253373B6" w14:textId="4906B4DD" w:rsidR="00621F41" w:rsidRPr="00567064" w:rsidRDefault="00341705" w:rsidP="00621F41">
      <w:pPr>
        <w:numPr>
          <w:ilvl w:val="0"/>
          <w:numId w:val="7"/>
        </w:numPr>
        <w:jc w:val="both"/>
      </w:pPr>
      <w:r>
        <w:rPr>
          <w:i/>
          <w:iCs/>
        </w:rPr>
        <w:t>We o</w:t>
      </w:r>
      <w:r w:rsidR="00621F41" w:rsidRPr="00621F41">
        <w:rPr>
          <w:i/>
          <w:iCs/>
        </w:rPr>
        <w:t>btain</w:t>
      </w:r>
      <w:r>
        <w:rPr>
          <w:i/>
          <w:iCs/>
        </w:rPr>
        <w:t>ed</w:t>
      </w:r>
      <w:r w:rsidR="00621F41" w:rsidRPr="00621F41">
        <w:rPr>
          <w:i/>
          <w:iCs/>
        </w:rPr>
        <w:t xml:space="preserve"> a schedule of trade payables and determine</w:t>
      </w:r>
      <w:r>
        <w:rPr>
          <w:i/>
          <w:iCs/>
        </w:rPr>
        <w:t>d whether the total agreed</w:t>
      </w:r>
      <w:r w:rsidR="00621F41" w:rsidRPr="00621F41">
        <w:rPr>
          <w:i/>
          <w:iCs/>
        </w:rPr>
        <w:t xml:space="preserve"> with the trial balance.</w:t>
      </w:r>
    </w:p>
    <w:p w14:paraId="41EACE9B" w14:textId="3715F436" w:rsidR="00621F41" w:rsidRPr="00567064" w:rsidRDefault="00341705" w:rsidP="00621F41">
      <w:pPr>
        <w:numPr>
          <w:ilvl w:val="0"/>
          <w:numId w:val="7"/>
        </w:numPr>
        <w:jc w:val="both"/>
      </w:pPr>
      <w:r>
        <w:rPr>
          <w:i/>
          <w:iCs/>
        </w:rPr>
        <w:t>We o</w:t>
      </w:r>
      <w:r w:rsidR="00621F41" w:rsidRPr="00621F41">
        <w:rPr>
          <w:i/>
          <w:iCs/>
        </w:rPr>
        <w:t>btain</w:t>
      </w:r>
      <w:r>
        <w:rPr>
          <w:i/>
          <w:iCs/>
        </w:rPr>
        <w:t>ed</w:t>
      </w:r>
      <w:r w:rsidR="00621F41" w:rsidRPr="00621F41">
        <w:rPr>
          <w:i/>
          <w:iCs/>
        </w:rPr>
        <w:t xml:space="preserve"> the VAT reconcialition schedule and determine</w:t>
      </w:r>
      <w:r>
        <w:rPr>
          <w:i/>
          <w:iCs/>
        </w:rPr>
        <w:t>d</w:t>
      </w:r>
      <w:r w:rsidR="00621F41" w:rsidRPr="00621F41">
        <w:rPr>
          <w:i/>
          <w:iCs/>
        </w:rPr>
        <w:t xml:space="preserve"> wheher the totals agrees with the amounts as reflected in the trial balance</w:t>
      </w:r>
      <w:r w:rsidR="00567064">
        <w:rPr>
          <w:i/>
          <w:iCs/>
        </w:rPr>
        <w:t>.</w:t>
      </w:r>
    </w:p>
    <w:p w14:paraId="1B6CC6DE" w14:textId="5764945A" w:rsidR="00567064" w:rsidRPr="00567064" w:rsidRDefault="00567064" w:rsidP="00621F41">
      <w:pPr>
        <w:numPr>
          <w:ilvl w:val="0"/>
          <w:numId w:val="7"/>
        </w:numPr>
        <w:jc w:val="both"/>
      </w:pPr>
      <w:r>
        <w:rPr>
          <w:i/>
          <w:iCs/>
        </w:rPr>
        <w:t xml:space="preserve">We recalcualted the public interest score </w:t>
      </w:r>
      <w:r w:rsidR="00406096">
        <w:rPr>
          <w:i/>
          <w:iCs/>
        </w:rPr>
        <w:t>and compared it to the calculation performed by the corporation</w:t>
      </w:r>
      <w:r>
        <w:rPr>
          <w:i/>
          <w:iCs/>
        </w:rPr>
        <w:t>.</w:t>
      </w:r>
    </w:p>
    <w:p w14:paraId="2607BAAA" w14:textId="4D2B6B01" w:rsidR="00406096" w:rsidRPr="00406096" w:rsidRDefault="00567064" w:rsidP="00567064">
      <w:pPr>
        <w:numPr>
          <w:ilvl w:val="0"/>
          <w:numId w:val="7"/>
        </w:numPr>
        <w:jc w:val="both"/>
      </w:pPr>
      <w:r>
        <w:rPr>
          <w:i/>
          <w:iCs/>
        </w:rPr>
        <w:t>We obtained the list of creditors and affirmation for the use of generally accepted accounting policies appropriate to the business of the corporation</w:t>
      </w:r>
      <w:r w:rsidR="00406096">
        <w:rPr>
          <w:i/>
          <w:iCs/>
        </w:rPr>
        <w:t xml:space="preserve"> i.e. [Select the relevant framework e.g. IFRS or IFRS for SME or Modified Cash Basis of Accounting]</w:t>
      </w:r>
      <w:r>
        <w:rPr>
          <w:i/>
          <w:iCs/>
        </w:rPr>
        <w:t>.</w:t>
      </w:r>
    </w:p>
    <w:p w14:paraId="1DCEA059" w14:textId="19E1C6D9" w:rsidR="00567064" w:rsidRPr="00621F41" w:rsidRDefault="00406096" w:rsidP="00567064">
      <w:pPr>
        <w:numPr>
          <w:ilvl w:val="0"/>
          <w:numId w:val="7"/>
        </w:numPr>
        <w:jc w:val="both"/>
      </w:pPr>
      <w:r>
        <w:rPr>
          <w:i/>
          <w:iCs/>
        </w:rPr>
        <w:t>We read the accounting policies and compared this to the appropriate accounting framework as per the Companies Act, 2008 i.e. [Select the relevant framework eg. IFRS or IFRS for SME or Modified Cash Basis of Accounting]</w:t>
      </w:r>
    </w:p>
    <w:p w14:paraId="6804E0B4" w14:textId="77777777" w:rsidR="00621F41" w:rsidRPr="00621F41" w:rsidRDefault="00621F41" w:rsidP="00621F41">
      <w:pPr>
        <w:jc w:val="both"/>
        <w:rPr>
          <w:lang w:val="en-US"/>
        </w:rPr>
      </w:pPr>
      <w:r w:rsidRPr="00621F41">
        <w:rPr>
          <w:b/>
          <w:bCs/>
        </w:rPr>
        <w:t>Findings</w:t>
      </w:r>
    </w:p>
    <w:p w14:paraId="1E2D55C6" w14:textId="6124F241" w:rsidR="00621F41" w:rsidRPr="00621F41" w:rsidRDefault="00621F41" w:rsidP="00621F41">
      <w:pPr>
        <w:jc w:val="both"/>
        <w:rPr>
          <w:lang w:val="en-US"/>
        </w:rPr>
      </w:pPr>
      <w:r w:rsidRPr="00621F41">
        <w:rPr>
          <w:i/>
          <w:iCs/>
        </w:rPr>
        <w:t>We report our findings below:</w:t>
      </w:r>
    </w:p>
    <w:p w14:paraId="4C40547C" w14:textId="452AE6DE" w:rsidR="00621F41" w:rsidRPr="00621F41" w:rsidRDefault="00341705" w:rsidP="00621F41">
      <w:pPr>
        <w:jc w:val="both"/>
        <w:rPr>
          <w:lang w:val="en-US"/>
        </w:rPr>
      </w:pPr>
      <w:r>
        <w:rPr>
          <w:i/>
          <w:iCs/>
        </w:rPr>
        <w:t>[</w:t>
      </w:r>
      <w:r w:rsidR="00621F41" w:rsidRPr="00621F41">
        <w:rPr>
          <w:i/>
          <w:iCs/>
        </w:rPr>
        <w:t>Insert list of findings</w:t>
      </w:r>
      <w:r w:rsidR="00BF7637">
        <w:rPr>
          <w:i/>
          <w:iCs/>
        </w:rPr>
        <w:t>. Examples provided below</w:t>
      </w:r>
      <w:r>
        <w:rPr>
          <w:i/>
          <w:iCs/>
        </w:rPr>
        <w:t>]</w:t>
      </w:r>
    </w:p>
    <w:p w14:paraId="5AF604CB" w14:textId="5C109990" w:rsidR="00621F41" w:rsidRPr="00621F41" w:rsidRDefault="00621F41" w:rsidP="00621F41">
      <w:pPr>
        <w:numPr>
          <w:ilvl w:val="0"/>
          <w:numId w:val="8"/>
        </w:numPr>
        <w:jc w:val="both"/>
      </w:pPr>
      <w:r w:rsidRPr="00621F41">
        <w:rPr>
          <w:i/>
          <w:iCs/>
        </w:rPr>
        <w:t xml:space="preserve">With respect to item 1 we found the addition </w:t>
      </w:r>
      <w:r w:rsidR="00BF7637">
        <w:rPr>
          <w:i/>
          <w:iCs/>
        </w:rPr>
        <w:t>[</w:t>
      </w:r>
      <w:r w:rsidRPr="00BF7637">
        <w:rPr>
          <w:i/>
          <w:iCs/>
        </w:rPr>
        <w:t>to be correct</w:t>
      </w:r>
      <w:r w:rsidR="00BF7637" w:rsidRPr="00BF7637">
        <w:rPr>
          <w:i/>
          <w:iCs/>
        </w:rPr>
        <w:t>/ not correct</w:t>
      </w:r>
      <w:r w:rsidR="00BF7637">
        <w:rPr>
          <w:i/>
          <w:iCs/>
        </w:rPr>
        <w:t>]</w:t>
      </w:r>
      <w:r w:rsidRPr="00621F41">
        <w:rPr>
          <w:i/>
          <w:iCs/>
        </w:rPr>
        <w:t xml:space="preserve"> and the line items and the total amounts to be in agreement</w:t>
      </w:r>
      <w:r w:rsidR="00406096">
        <w:rPr>
          <w:i/>
          <w:iCs/>
        </w:rPr>
        <w:t>;</w:t>
      </w:r>
    </w:p>
    <w:p w14:paraId="2B22C13B" w14:textId="6DF0825E" w:rsidR="00621F41" w:rsidRPr="00621F41" w:rsidRDefault="00621F41" w:rsidP="00621F41">
      <w:pPr>
        <w:numPr>
          <w:ilvl w:val="0"/>
          <w:numId w:val="8"/>
        </w:numPr>
        <w:jc w:val="both"/>
      </w:pPr>
      <w:r w:rsidRPr="00621F41">
        <w:rPr>
          <w:i/>
          <w:iCs/>
        </w:rPr>
        <w:t xml:space="preserve">With respect to item 2 we found the balances to be </w:t>
      </w:r>
      <w:r w:rsidR="00BF7637">
        <w:rPr>
          <w:i/>
          <w:iCs/>
        </w:rPr>
        <w:t>[</w:t>
      </w:r>
      <w:r w:rsidRPr="00621F41">
        <w:rPr>
          <w:i/>
          <w:iCs/>
        </w:rPr>
        <w:t>in agreement</w:t>
      </w:r>
      <w:r w:rsidR="00BF7637">
        <w:rPr>
          <w:i/>
          <w:iCs/>
        </w:rPr>
        <w:t>/not in agreement]</w:t>
      </w:r>
      <w:r w:rsidR="00406096">
        <w:rPr>
          <w:i/>
          <w:iCs/>
        </w:rPr>
        <w:t>;</w:t>
      </w:r>
    </w:p>
    <w:p w14:paraId="6F5BB3F8" w14:textId="6DE005D1" w:rsidR="00621F41" w:rsidRPr="00621F41" w:rsidRDefault="00621F41" w:rsidP="00621F41">
      <w:pPr>
        <w:numPr>
          <w:ilvl w:val="0"/>
          <w:numId w:val="8"/>
        </w:numPr>
        <w:jc w:val="both"/>
      </w:pPr>
      <w:r w:rsidRPr="00621F41">
        <w:rPr>
          <w:i/>
          <w:iCs/>
        </w:rPr>
        <w:t xml:space="preserve">With respect to item 3 we found the amounts to be </w:t>
      </w:r>
      <w:r w:rsidR="00BF7637">
        <w:rPr>
          <w:i/>
          <w:iCs/>
        </w:rPr>
        <w:t>[</w:t>
      </w:r>
      <w:r w:rsidR="00BF7637" w:rsidRPr="00621F41">
        <w:rPr>
          <w:i/>
          <w:iCs/>
        </w:rPr>
        <w:t>in agreement</w:t>
      </w:r>
      <w:r w:rsidR="00BF7637">
        <w:rPr>
          <w:i/>
          <w:iCs/>
        </w:rPr>
        <w:t>/not in agreement];</w:t>
      </w:r>
    </w:p>
    <w:p w14:paraId="4721CB1A" w14:textId="6F3D7991" w:rsidR="00406096" w:rsidRPr="00621F41" w:rsidRDefault="00406096" w:rsidP="00406096">
      <w:pPr>
        <w:numPr>
          <w:ilvl w:val="0"/>
          <w:numId w:val="8"/>
        </w:numPr>
        <w:jc w:val="both"/>
      </w:pPr>
      <w:r>
        <w:rPr>
          <w:i/>
          <w:iCs/>
        </w:rPr>
        <w:t>With respect to item 4</w:t>
      </w:r>
      <w:r w:rsidRPr="00621F41">
        <w:rPr>
          <w:i/>
          <w:iCs/>
        </w:rPr>
        <w:t xml:space="preserve"> we found the amounts to be </w:t>
      </w:r>
      <w:r w:rsidR="00BF7637">
        <w:rPr>
          <w:i/>
          <w:iCs/>
        </w:rPr>
        <w:t>[</w:t>
      </w:r>
      <w:r w:rsidR="00BF7637" w:rsidRPr="00621F41">
        <w:rPr>
          <w:i/>
          <w:iCs/>
        </w:rPr>
        <w:t>in agreement</w:t>
      </w:r>
      <w:r w:rsidR="00BF7637">
        <w:rPr>
          <w:i/>
          <w:iCs/>
        </w:rPr>
        <w:t>/not in agreement];</w:t>
      </w:r>
    </w:p>
    <w:p w14:paraId="76797D9B" w14:textId="24B8AAFC" w:rsidR="00406096" w:rsidRPr="00621F41" w:rsidRDefault="00406096" w:rsidP="00406096">
      <w:pPr>
        <w:numPr>
          <w:ilvl w:val="0"/>
          <w:numId w:val="8"/>
        </w:numPr>
        <w:jc w:val="both"/>
      </w:pPr>
      <w:r>
        <w:rPr>
          <w:i/>
          <w:iCs/>
        </w:rPr>
        <w:t>With respect to item 5</w:t>
      </w:r>
      <w:r w:rsidRPr="00621F41">
        <w:rPr>
          <w:i/>
          <w:iCs/>
        </w:rPr>
        <w:t xml:space="preserve"> we found the amounts to be </w:t>
      </w:r>
      <w:r w:rsidR="00BF7637">
        <w:rPr>
          <w:i/>
          <w:iCs/>
        </w:rPr>
        <w:t>[</w:t>
      </w:r>
      <w:r w:rsidR="00BF7637" w:rsidRPr="00621F41">
        <w:rPr>
          <w:i/>
          <w:iCs/>
        </w:rPr>
        <w:t>in agreement</w:t>
      </w:r>
      <w:r w:rsidR="00BF7637">
        <w:rPr>
          <w:i/>
          <w:iCs/>
        </w:rPr>
        <w:t xml:space="preserve">/not in agreement] </w:t>
      </w:r>
      <w:r>
        <w:rPr>
          <w:i/>
          <w:iCs/>
        </w:rPr>
        <w:t>and</w:t>
      </w:r>
      <w:r w:rsidR="00BF7637">
        <w:rPr>
          <w:i/>
          <w:iCs/>
        </w:rPr>
        <w:t xml:space="preserve"> [based/not based] </w:t>
      </w:r>
      <w:r w:rsidRPr="00621F41">
        <w:rPr>
          <w:i/>
          <w:iCs/>
        </w:rPr>
        <w:t xml:space="preserve">on a physical count of inventory; </w:t>
      </w:r>
    </w:p>
    <w:p w14:paraId="2DD4A95B" w14:textId="7EE1FAEE" w:rsidR="00406096" w:rsidRPr="00621F41" w:rsidRDefault="00406096" w:rsidP="00406096">
      <w:pPr>
        <w:numPr>
          <w:ilvl w:val="0"/>
          <w:numId w:val="8"/>
        </w:numPr>
        <w:jc w:val="both"/>
      </w:pPr>
      <w:r>
        <w:rPr>
          <w:i/>
          <w:iCs/>
        </w:rPr>
        <w:lastRenderedPageBreak/>
        <w:t>With respect to item 6</w:t>
      </w:r>
      <w:r w:rsidRPr="00621F41">
        <w:rPr>
          <w:i/>
          <w:iCs/>
        </w:rPr>
        <w:t xml:space="preserve"> we found the amounts to be </w:t>
      </w:r>
      <w:r w:rsidR="00BF7637">
        <w:rPr>
          <w:i/>
          <w:iCs/>
        </w:rPr>
        <w:t>[</w:t>
      </w:r>
      <w:r w:rsidR="00BF7637" w:rsidRPr="00621F41">
        <w:rPr>
          <w:i/>
          <w:iCs/>
        </w:rPr>
        <w:t>in agreement</w:t>
      </w:r>
      <w:r w:rsidR="00BF7637">
        <w:rPr>
          <w:i/>
          <w:iCs/>
        </w:rPr>
        <w:t>/not in agreement];</w:t>
      </w:r>
    </w:p>
    <w:p w14:paraId="5271E040" w14:textId="2D51F710" w:rsidR="00406096" w:rsidRPr="00567064" w:rsidRDefault="00406096" w:rsidP="00406096">
      <w:pPr>
        <w:numPr>
          <w:ilvl w:val="0"/>
          <w:numId w:val="8"/>
        </w:numPr>
        <w:jc w:val="both"/>
      </w:pPr>
      <w:r>
        <w:rPr>
          <w:i/>
          <w:iCs/>
        </w:rPr>
        <w:t>With respect to item 7</w:t>
      </w:r>
      <w:r w:rsidRPr="00621F41">
        <w:rPr>
          <w:i/>
          <w:iCs/>
        </w:rPr>
        <w:t xml:space="preserve"> we found the amounts to be </w:t>
      </w:r>
      <w:r w:rsidR="00BF7637">
        <w:rPr>
          <w:i/>
          <w:iCs/>
        </w:rPr>
        <w:t>[</w:t>
      </w:r>
      <w:r w:rsidR="00BF7637" w:rsidRPr="00621F41">
        <w:rPr>
          <w:i/>
          <w:iCs/>
        </w:rPr>
        <w:t>in agreement</w:t>
      </w:r>
      <w:r w:rsidR="00BF7637">
        <w:rPr>
          <w:i/>
          <w:iCs/>
        </w:rPr>
        <w:t>/not in agreement];</w:t>
      </w:r>
    </w:p>
    <w:p w14:paraId="3FB28D76" w14:textId="77777777" w:rsidR="00BF7637" w:rsidRPr="00BF7637" w:rsidRDefault="00406096" w:rsidP="00406096">
      <w:pPr>
        <w:numPr>
          <w:ilvl w:val="0"/>
          <w:numId w:val="8"/>
        </w:numPr>
        <w:jc w:val="both"/>
      </w:pPr>
      <w:r w:rsidRPr="00BF7637">
        <w:rPr>
          <w:i/>
          <w:iCs/>
        </w:rPr>
        <w:t xml:space="preserve">With respect to item 8 we found the amounts to be </w:t>
      </w:r>
      <w:r w:rsidR="00BF7637">
        <w:rPr>
          <w:i/>
          <w:iCs/>
        </w:rPr>
        <w:t>[</w:t>
      </w:r>
      <w:r w:rsidR="00BF7637" w:rsidRPr="00621F41">
        <w:rPr>
          <w:i/>
          <w:iCs/>
        </w:rPr>
        <w:t>in agreement</w:t>
      </w:r>
      <w:r w:rsidR="00BF7637">
        <w:rPr>
          <w:i/>
          <w:iCs/>
        </w:rPr>
        <w:t>/not in agreement];</w:t>
      </w:r>
    </w:p>
    <w:p w14:paraId="33929EDE" w14:textId="00612F55" w:rsidR="00406096" w:rsidRPr="00567064" w:rsidRDefault="00406096" w:rsidP="00406096">
      <w:pPr>
        <w:numPr>
          <w:ilvl w:val="0"/>
          <w:numId w:val="8"/>
        </w:numPr>
        <w:jc w:val="both"/>
      </w:pPr>
      <w:r w:rsidRPr="00BF7637">
        <w:rPr>
          <w:i/>
          <w:iCs/>
        </w:rPr>
        <w:t xml:space="preserve">With respect to item 9 we found the amounts to be </w:t>
      </w:r>
      <w:r w:rsidR="00BF7637">
        <w:rPr>
          <w:i/>
          <w:iCs/>
        </w:rPr>
        <w:t>[</w:t>
      </w:r>
      <w:r w:rsidR="00BF7637" w:rsidRPr="00621F41">
        <w:rPr>
          <w:i/>
          <w:iCs/>
        </w:rPr>
        <w:t>in agreement</w:t>
      </w:r>
      <w:r w:rsidR="00BF7637">
        <w:rPr>
          <w:i/>
          <w:iCs/>
        </w:rPr>
        <w:t>/not in agreement];</w:t>
      </w:r>
    </w:p>
    <w:p w14:paraId="1AE570B5" w14:textId="339A2B9B" w:rsidR="00406096" w:rsidRPr="00406096" w:rsidRDefault="00406096" w:rsidP="00406096">
      <w:pPr>
        <w:numPr>
          <w:ilvl w:val="0"/>
          <w:numId w:val="8"/>
        </w:numPr>
        <w:jc w:val="both"/>
      </w:pPr>
      <w:r>
        <w:rPr>
          <w:i/>
          <w:iCs/>
        </w:rPr>
        <w:t>With respect to item 10</w:t>
      </w:r>
      <w:r w:rsidRPr="00621F41">
        <w:rPr>
          <w:i/>
          <w:iCs/>
        </w:rPr>
        <w:t xml:space="preserve"> </w:t>
      </w:r>
      <w:r>
        <w:rPr>
          <w:i/>
          <w:iCs/>
        </w:rPr>
        <w:t xml:space="preserve">we </w:t>
      </w:r>
      <w:r w:rsidR="00BF7637">
        <w:rPr>
          <w:i/>
          <w:iCs/>
        </w:rPr>
        <w:t>[</w:t>
      </w:r>
      <w:r>
        <w:rPr>
          <w:i/>
          <w:iCs/>
        </w:rPr>
        <w:t>found</w:t>
      </w:r>
      <w:r w:rsidR="00BF7637">
        <w:rPr>
          <w:i/>
          <w:iCs/>
        </w:rPr>
        <w:t>/did not find]</w:t>
      </w:r>
      <w:r>
        <w:rPr>
          <w:i/>
          <w:iCs/>
        </w:rPr>
        <w:t xml:space="preserve"> the affirmation by creditors.</w:t>
      </w:r>
    </w:p>
    <w:p w14:paraId="6F21A339" w14:textId="6C9B0BE5" w:rsidR="00406096" w:rsidRPr="00621F41" w:rsidRDefault="00406096" w:rsidP="00406096">
      <w:pPr>
        <w:numPr>
          <w:ilvl w:val="0"/>
          <w:numId w:val="8"/>
        </w:numPr>
        <w:jc w:val="both"/>
      </w:pPr>
      <w:r>
        <w:rPr>
          <w:i/>
          <w:iCs/>
        </w:rPr>
        <w:t>With respect to item 11</w:t>
      </w:r>
      <w:r w:rsidRPr="00621F41">
        <w:rPr>
          <w:i/>
          <w:iCs/>
        </w:rPr>
        <w:t xml:space="preserve"> </w:t>
      </w:r>
      <w:r>
        <w:rPr>
          <w:i/>
          <w:iCs/>
        </w:rPr>
        <w:t xml:space="preserve">we found that the accounting policies and framework are </w:t>
      </w:r>
      <w:r w:rsidR="00BF7637">
        <w:rPr>
          <w:i/>
          <w:iCs/>
        </w:rPr>
        <w:t>[</w:t>
      </w:r>
      <w:r w:rsidR="00BF7637" w:rsidRPr="00621F41">
        <w:rPr>
          <w:i/>
          <w:iCs/>
        </w:rPr>
        <w:t>in agreement</w:t>
      </w:r>
      <w:r w:rsidR="00BF7637">
        <w:rPr>
          <w:i/>
          <w:iCs/>
        </w:rPr>
        <w:t>/not in agreement].</w:t>
      </w:r>
    </w:p>
    <w:p w14:paraId="1DE2004A" w14:textId="77777777" w:rsidR="00621F41" w:rsidRPr="00621F41" w:rsidRDefault="00621F41" w:rsidP="00621F41">
      <w:pPr>
        <w:jc w:val="both"/>
        <w:rPr>
          <w:lang w:val="en-US"/>
        </w:rPr>
      </w:pPr>
      <w:r w:rsidRPr="00621F41">
        <w:rPr>
          <w:lang w:val="en-US"/>
        </w:rPr>
        <w:t>Because the above procedures do not constitute an assurance engagement made in accordance with International Standards on Auditing or International Standards on Review Engagements we do not express any assurance on the annual financial statements.</w:t>
      </w:r>
    </w:p>
    <w:p w14:paraId="0231DBAC" w14:textId="77777777" w:rsidR="00621F41" w:rsidRPr="00621F41" w:rsidRDefault="00621F41" w:rsidP="00621F41">
      <w:pPr>
        <w:jc w:val="both"/>
        <w:rPr>
          <w:lang w:val="en-US"/>
        </w:rPr>
      </w:pPr>
      <w:r w:rsidRPr="00621F41">
        <w:rPr>
          <w:lang w:val="en-US"/>
        </w:rPr>
        <w:t>Had we performed additional procedures or had we performed an assurance engagement of the financial statements in accordance with a relevant International Standards such as the International Standard on Review Engagements, other matters might have come to our attention that would have been reported to you.</w:t>
      </w:r>
    </w:p>
    <w:p w14:paraId="4DC4FF38" w14:textId="69818423" w:rsidR="00621F41" w:rsidRDefault="00621F41" w:rsidP="00621F41">
      <w:pPr>
        <w:jc w:val="both"/>
        <w:rPr>
          <w:lang w:val="en-US"/>
        </w:rPr>
      </w:pPr>
      <w:r w:rsidRPr="00621F41">
        <w:rPr>
          <w:lang w:val="en-US"/>
        </w:rPr>
        <w:t xml:space="preserve">Part II of this report is solely for the purpose set out in the first paragraph thereof and for your information, and is not to be used for any other purpose, nor to be distributed to any other parties. This report relates only to the accounts and </w:t>
      </w:r>
      <w:r w:rsidR="00341705" w:rsidRPr="00621F41">
        <w:rPr>
          <w:lang w:val="en-US"/>
        </w:rPr>
        <w:t>items specified above, and do</w:t>
      </w:r>
      <w:r w:rsidRPr="00621F41">
        <w:rPr>
          <w:lang w:val="en-US"/>
        </w:rPr>
        <w:t xml:space="preserve"> not extend to the annual financial statements taken as a whole.</w:t>
      </w:r>
    </w:p>
    <w:p w14:paraId="7A8FA9B8" w14:textId="4FB1BDF0" w:rsidR="00BF7637" w:rsidRPr="00BF7637" w:rsidRDefault="00BF7637" w:rsidP="00BF7637">
      <w:pPr>
        <w:jc w:val="both"/>
        <w:rPr>
          <w:b/>
          <w:lang w:val="en-US"/>
        </w:rPr>
      </w:pPr>
      <w:r w:rsidRPr="00BF7637">
        <w:rPr>
          <w:b/>
          <w:lang w:val="en-US"/>
        </w:rPr>
        <w:t>Emphasis of matter (Dependent on circumstances</w:t>
      </w:r>
      <w:r w:rsidR="00A62348">
        <w:rPr>
          <w:b/>
          <w:lang w:val="en-US"/>
        </w:rPr>
        <w:t xml:space="preserve"> – Select or delete the matter that applies</w:t>
      </w:r>
      <w:r w:rsidRPr="00BF7637">
        <w:rPr>
          <w:b/>
          <w:lang w:val="en-US"/>
        </w:rPr>
        <w:t>)</w:t>
      </w:r>
    </w:p>
    <w:p w14:paraId="6179474F" w14:textId="4F435D76" w:rsidR="00BF7637" w:rsidRPr="00BF7637" w:rsidRDefault="00A62348" w:rsidP="00BF7637">
      <w:pPr>
        <w:jc w:val="both"/>
        <w:rPr>
          <w:lang w:val="en-US"/>
        </w:rPr>
      </w:pPr>
      <w:r>
        <w:rPr>
          <w:lang w:val="en-US"/>
        </w:rPr>
        <w:t>[</w:t>
      </w:r>
      <w:r w:rsidR="00BF7637" w:rsidRPr="00BF7637">
        <w:rPr>
          <w:lang w:val="en-US"/>
        </w:rPr>
        <w:t>We wish to draw attention to the fact that the annual financial statements are not in agreement with the</w:t>
      </w:r>
      <w:r w:rsidR="00BF7637">
        <w:rPr>
          <w:lang w:val="en-US"/>
        </w:rPr>
        <w:t xml:space="preserve"> accounting records as required by Section 56(1) of the Close Corporations Act, 1984.</w:t>
      </w:r>
      <w:r>
        <w:rPr>
          <w:lang w:val="en-US"/>
        </w:rPr>
        <w:t>]</w:t>
      </w:r>
    </w:p>
    <w:p w14:paraId="042EB05E" w14:textId="56A08E13" w:rsidR="00BF7637" w:rsidRPr="00BF7637" w:rsidRDefault="00A62348" w:rsidP="00BF7637">
      <w:pPr>
        <w:jc w:val="both"/>
        <w:rPr>
          <w:lang w:val="en-US"/>
        </w:rPr>
      </w:pPr>
      <w:r>
        <w:rPr>
          <w:lang w:val="en-US"/>
        </w:rPr>
        <w:t>[</w:t>
      </w:r>
      <w:r w:rsidR="00BF7637" w:rsidRPr="00BF7637">
        <w:rPr>
          <w:lang w:val="en-US"/>
        </w:rPr>
        <w:t>We wish to draw attention to a matter relating to the appropriateness of the accounting policies</w:t>
      </w:r>
      <w:r w:rsidR="00BF7637">
        <w:rPr>
          <w:lang w:val="en-US"/>
        </w:rPr>
        <w:t xml:space="preserve"> </w:t>
      </w:r>
      <w:r>
        <w:rPr>
          <w:lang w:val="en-US"/>
        </w:rPr>
        <w:t xml:space="preserve">applied. As stated in note 1 </w:t>
      </w:r>
      <w:r w:rsidR="00BF7637" w:rsidRPr="00BF7637">
        <w:rPr>
          <w:lang w:val="en-US"/>
        </w:rPr>
        <w:t xml:space="preserve">to the financial statements, the corporation </w:t>
      </w:r>
      <w:r>
        <w:rPr>
          <w:lang w:val="en-US"/>
        </w:rPr>
        <w:t>applies [</w:t>
      </w:r>
      <w:r w:rsidRPr="00A62348">
        <w:rPr>
          <w:i/>
          <w:lang w:val="en-US"/>
        </w:rPr>
        <w:t xml:space="preserve">note the appropriate accounting framework </w:t>
      </w:r>
      <w:proofErr w:type="spellStart"/>
      <w:r w:rsidRPr="00A62348">
        <w:rPr>
          <w:i/>
          <w:lang w:val="en-US"/>
        </w:rPr>
        <w:t>e.g</w:t>
      </w:r>
      <w:proofErr w:type="spellEnd"/>
      <w:r w:rsidRPr="00A62348">
        <w:rPr>
          <w:i/>
          <w:lang w:val="en-US"/>
        </w:rPr>
        <w:t xml:space="preserve"> IFRS or IFRS for SME or Modified Cash Basis of Accounting</w:t>
      </w:r>
      <w:r>
        <w:rPr>
          <w:lang w:val="en-US"/>
        </w:rPr>
        <w:t>]. According to this framework i</w:t>
      </w:r>
      <w:r w:rsidRPr="00BF7637">
        <w:rPr>
          <w:lang w:val="en-US"/>
        </w:rPr>
        <w:t>t is appropriate to the business of the corporation to value inventory at the</w:t>
      </w:r>
      <w:r>
        <w:rPr>
          <w:lang w:val="en-US"/>
        </w:rPr>
        <w:t xml:space="preserve"> </w:t>
      </w:r>
      <w:r w:rsidRPr="00BF7637">
        <w:rPr>
          <w:lang w:val="en-US"/>
        </w:rPr>
        <w:t>lower of</w:t>
      </w:r>
      <w:r>
        <w:rPr>
          <w:lang w:val="en-US"/>
        </w:rPr>
        <w:t xml:space="preserve"> cost and net realizable value</w:t>
      </w:r>
      <w:r w:rsidRPr="00BF7637">
        <w:rPr>
          <w:lang w:val="en-US"/>
        </w:rPr>
        <w:t xml:space="preserve"> </w:t>
      </w:r>
      <w:r>
        <w:rPr>
          <w:lang w:val="en-US"/>
        </w:rPr>
        <w:t xml:space="preserve">however the corporation </w:t>
      </w:r>
      <w:r w:rsidR="00BF7637" w:rsidRPr="00BF7637">
        <w:rPr>
          <w:lang w:val="en-US"/>
        </w:rPr>
        <w:t>has valued inventory at cost less</w:t>
      </w:r>
      <w:r w:rsidR="00BF7637">
        <w:rPr>
          <w:lang w:val="en-US"/>
        </w:rPr>
        <w:t xml:space="preserve"> </w:t>
      </w:r>
      <w:r w:rsidR="00BF7637" w:rsidRPr="00BF7637">
        <w:rPr>
          <w:lang w:val="en-US"/>
        </w:rPr>
        <w:t>anticipated selling costs.</w:t>
      </w:r>
      <w:r>
        <w:rPr>
          <w:lang w:val="en-US"/>
        </w:rPr>
        <w:t>]</w:t>
      </w:r>
    </w:p>
    <w:p w14:paraId="0A8F9710" w14:textId="067C8A2F" w:rsidR="00BF7637" w:rsidRPr="00BF7637" w:rsidRDefault="00A62348" w:rsidP="00BF7637">
      <w:pPr>
        <w:jc w:val="both"/>
        <w:rPr>
          <w:lang w:val="en-US"/>
        </w:rPr>
      </w:pPr>
      <w:r>
        <w:rPr>
          <w:lang w:val="en-US"/>
        </w:rPr>
        <w:t>[</w:t>
      </w:r>
      <w:r w:rsidR="00BF7637" w:rsidRPr="00BF7637">
        <w:rPr>
          <w:lang w:val="en-US"/>
        </w:rPr>
        <w:t xml:space="preserve">We wish to draw attention to a contravention(s) of the Close Corporations </w:t>
      </w:r>
      <w:proofErr w:type="gramStart"/>
      <w:r w:rsidR="00BF7637" w:rsidRPr="00BF7637">
        <w:rPr>
          <w:lang w:val="en-US"/>
        </w:rPr>
        <w:t>Act which</w:t>
      </w:r>
      <w:proofErr w:type="gramEnd"/>
      <w:r w:rsidR="00BF7637" w:rsidRPr="00BF7637">
        <w:rPr>
          <w:lang w:val="en-US"/>
        </w:rPr>
        <w:t xml:space="preserve"> came to our</w:t>
      </w:r>
      <w:r>
        <w:rPr>
          <w:lang w:val="en-US"/>
        </w:rPr>
        <w:t xml:space="preserve"> </w:t>
      </w:r>
      <w:r w:rsidR="00BF7637" w:rsidRPr="00BF7637">
        <w:rPr>
          <w:lang w:val="en-US"/>
        </w:rPr>
        <w:t>knowledge during the performance of our duties as accounting officer. We are not required to perform</w:t>
      </w:r>
      <w:r>
        <w:rPr>
          <w:lang w:val="en-US"/>
        </w:rPr>
        <w:t xml:space="preserve"> </w:t>
      </w:r>
      <w:r w:rsidR="00BF7637" w:rsidRPr="00BF7637">
        <w:rPr>
          <w:lang w:val="en-US"/>
        </w:rPr>
        <w:t>specific procedures to identify contraventions of the Act. [Refer to the relevant section(s) contravened</w:t>
      </w:r>
      <w:r>
        <w:rPr>
          <w:lang w:val="en-US"/>
        </w:rPr>
        <w:t xml:space="preserve"> </w:t>
      </w:r>
      <w:r w:rsidR="00BF7637" w:rsidRPr="00BF7637">
        <w:rPr>
          <w:lang w:val="en-US"/>
        </w:rPr>
        <w:t>and explain th</w:t>
      </w:r>
      <w:r>
        <w:rPr>
          <w:lang w:val="en-US"/>
        </w:rPr>
        <w:t>e nature of the contravention].</w:t>
      </w:r>
    </w:p>
    <w:p w14:paraId="7C5E5F95" w14:textId="57D47BCB" w:rsidR="00BF7637" w:rsidRPr="00BF7637" w:rsidRDefault="00A62348" w:rsidP="00BF7637">
      <w:pPr>
        <w:jc w:val="both"/>
        <w:rPr>
          <w:lang w:val="en-US"/>
        </w:rPr>
      </w:pPr>
      <w:r>
        <w:rPr>
          <w:lang w:val="en-US"/>
        </w:rPr>
        <w:lastRenderedPageBreak/>
        <w:t>[</w:t>
      </w:r>
      <w:r w:rsidR="00BF7637" w:rsidRPr="00BF7637">
        <w:rPr>
          <w:lang w:val="en-US"/>
        </w:rPr>
        <w:t>We wish to draw attention to the fact that a member/partner/employee</w:t>
      </w:r>
      <w:r>
        <w:rPr>
          <w:lang w:val="en-US"/>
        </w:rPr>
        <w:t xml:space="preserve"> of our firm is also a member of </w:t>
      </w:r>
      <w:r w:rsidR="00BF7637" w:rsidRPr="00BF7637">
        <w:rPr>
          <w:lang w:val="en-US"/>
        </w:rPr>
        <w:t>the corporation and all the members have consented in writing to our appointment as accounting officer</w:t>
      </w:r>
      <w:r>
        <w:rPr>
          <w:lang w:val="en-US"/>
        </w:rPr>
        <w:t xml:space="preserve"> under these circumstances.]</w:t>
      </w:r>
    </w:p>
    <w:p w14:paraId="52987EA5" w14:textId="77777777" w:rsidR="00BF7637" w:rsidRPr="00621F41" w:rsidRDefault="00BF7637" w:rsidP="00621F41">
      <w:pPr>
        <w:jc w:val="both"/>
        <w:rPr>
          <w:lang w:val="en-US"/>
        </w:rPr>
      </w:pPr>
    </w:p>
    <w:p w14:paraId="197FE7DB" w14:textId="0D9DF38A" w:rsidR="00621F41" w:rsidRPr="00621F41" w:rsidRDefault="00621F41" w:rsidP="00621F41">
      <w:pPr>
        <w:jc w:val="both"/>
        <w:rPr>
          <w:lang w:val="en-US"/>
        </w:rPr>
      </w:pPr>
    </w:p>
    <w:p w14:paraId="5AEE853D" w14:textId="60CDFDD4" w:rsidR="00621F41" w:rsidRPr="00621F41" w:rsidRDefault="00341705" w:rsidP="00621F41">
      <w:pPr>
        <w:jc w:val="both"/>
        <w:rPr>
          <w:lang w:val="en-US"/>
        </w:rPr>
      </w:pPr>
      <w:r>
        <w:rPr>
          <w:lang w:val="en-US"/>
        </w:rPr>
        <w:t>[Accounting</w:t>
      </w:r>
      <w:r w:rsidR="00621F41" w:rsidRPr="00621F41">
        <w:rPr>
          <w:lang w:val="en-US"/>
        </w:rPr>
        <w:t xml:space="preserve"> Officer</w:t>
      </w:r>
      <w:r>
        <w:rPr>
          <w:lang w:val="en-US"/>
        </w:rPr>
        <w:t xml:space="preserve"> name and signature]</w:t>
      </w:r>
    </w:p>
    <w:p w14:paraId="0E42A49C" w14:textId="12339B00" w:rsidR="00341705" w:rsidRPr="00621F41" w:rsidRDefault="00341705" w:rsidP="00621F41">
      <w:pPr>
        <w:jc w:val="both"/>
        <w:rPr>
          <w:lang w:val="en-US"/>
        </w:rPr>
      </w:pPr>
      <w:r>
        <w:rPr>
          <w:lang w:val="en-US"/>
        </w:rPr>
        <w:t xml:space="preserve">Business Accountant in Practice (SA) </w:t>
      </w:r>
      <w:proofErr w:type="spellStart"/>
      <w:r>
        <w:rPr>
          <w:lang w:val="en-US"/>
        </w:rPr>
        <w:t>xxxxx</w:t>
      </w:r>
      <w:proofErr w:type="spellEnd"/>
    </w:p>
    <w:p w14:paraId="6F4F37FF" w14:textId="77777777" w:rsidR="00621F41" w:rsidRPr="00621F41" w:rsidRDefault="00621F41" w:rsidP="00621F41">
      <w:pPr>
        <w:jc w:val="both"/>
        <w:rPr>
          <w:lang w:val="en-US"/>
        </w:rPr>
      </w:pPr>
      <w:r w:rsidRPr="00621F41">
        <w:rPr>
          <w:lang w:val="en-US"/>
        </w:rPr>
        <w:t>Date</w:t>
      </w:r>
    </w:p>
    <w:p w14:paraId="4D241D29" w14:textId="77777777" w:rsidR="00621F41" w:rsidRPr="00621F41" w:rsidRDefault="00621F41" w:rsidP="00621F41">
      <w:pPr>
        <w:jc w:val="both"/>
        <w:rPr>
          <w:lang w:val="en-US"/>
        </w:rPr>
      </w:pPr>
      <w:r w:rsidRPr="00621F41">
        <w:rPr>
          <w:lang w:val="en-US"/>
        </w:rPr>
        <w:t>Address</w:t>
      </w:r>
    </w:p>
    <w:p w14:paraId="7D7F7A8B" w14:textId="77777777" w:rsidR="00621F41" w:rsidRPr="00621F41" w:rsidRDefault="00621F41" w:rsidP="00621F41">
      <w:pPr>
        <w:jc w:val="both"/>
        <w:rPr>
          <w:lang w:val="en-US"/>
        </w:rPr>
      </w:pPr>
    </w:p>
    <w:p w14:paraId="1E8D1FBC" w14:textId="77777777" w:rsidR="00E419A0" w:rsidRDefault="00E419A0" w:rsidP="00621F41">
      <w:pPr>
        <w:jc w:val="both"/>
      </w:pPr>
    </w:p>
    <w:sectPr w:rsidR="00E419A0" w:rsidSect="007E46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9D28" w14:textId="77777777" w:rsidR="00BF7637" w:rsidRDefault="00BF7637" w:rsidP="00F86B66">
      <w:pPr>
        <w:spacing w:after="0" w:line="240" w:lineRule="auto"/>
      </w:pPr>
      <w:r>
        <w:separator/>
      </w:r>
    </w:p>
  </w:endnote>
  <w:endnote w:type="continuationSeparator" w:id="0">
    <w:p w14:paraId="2070256C" w14:textId="77777777" w:rsidR="00BF7637" w:rsidRDefault="00BF7637" w:rsidP="00F8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71EE1" w14:textId="77777777" w:rsidR="00BF7637" w:rsidRDefault="00BF7637" w:rsidP="00F86B66">
      <w:pPr>
        <w:spacing w:after="0" w:line="240" w:lineRule="auto"/>
      </w:pPr>
      <w:r>
        <w:separator/>
      </w:r>
    </w:p>
  </w:footnote>
  <w:footnote w:type="continuationSeparator" w:id="0">
    <w:p w14:paraId="28878606" w14:textId="77777777" w:rsidR="00BF7637" w:rsidRDefault="00BF7637" w:rsidP="00F86B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61"/>
    <w:multiLevelType w:val="hybridMultilevel"/>
    <w:tmpl w:val="987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3516E"/>
    <w:multiLevelType w:val="hybridMultilevel"/>
    <w:tmpl w:val="580AC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7170"/>
    <w:multiLevelType w:val="hybridMultilevel"/>
    <w:tmpl w:val="6768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A154A"/>
    <w:multiLevelType w:val="hybridMultilevel"/>
    <w:tmpl w:val="CE80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F156C"/>
    <w:multiLevelType w:val="hybridMultilevel"/>
    <w:tmpl w:val="06F08C5E"/>
    <w:lvl w:ilvl="0" w:tplc="917CAB62">
      <w:start w:val="1"/>
      <w:numFmt w:val="lowerLetter"/>
      <w:lvlText w:val="%1."/>
      <w:lvlJc w:val="left"/>
      <w:pPr>
        <w:tabs>
          <w:tab w:val="num" w:pos="720"/>
        </w:tabs>
        <w:ind w:left="720" w:hanging="360"/>
      </w:pPr>
    </w:lvl>
    <w:lvl w:ilvl="1" w:tplc="7BDE61BE" w:tentative="1">
      <w:start w:val="1"/>
      <w:numFmt w:val="lowerLetter"/>
      <w:lvlText w:val="%2."/>
      <w:lvlJc w:val="left"/>
      <w:pPr>
        <w:tabs>
          <w:tab w:val="num" w:pos="1440"/>
        </w:tabs>
        <w:ind w:left="1440" w:hanging="360"/>
      </w:pPr>
    </w:lvl>
    <w:lvl w:ilvl="2" w:tplc="256875B6" w:tentative="1">
      <w:start w:val="1"/>
      <w:numFmt w:val="lowerLetter"/>
      <w:lvlText w:val="%3."/>
      <w:lvlJc w:val="left"/>
      <w:pPr>
        <w:tabs>
          <w:tab w:val="num" w:pos="2160"/>
        </w:tabs>
        <w:ind w:left="2160" w:hanging="360"/>
      </w:pPr>
    </w:lvl>
    <w:lvl w:ilvl="3" w:tplc="50961E60" w:tentative="1">
      <w:start w:val="1"/>
      <w:numFmt w:val="lowerLetter"/>
      <w:lvlText w:val="%4."/>
      <w:lvlJc w:val="left"/>
      <w:pPr>
        <w:tabs>
          <w:tab w:val="num" w:pos="2880"/>
        </w:tabs>
        <w:ind w:left="2880" w:hanging="360"/>
      </w:pPr>
    </w:lvl>
    <w:lvl w:ilvl="4" w:tplc="C4906408" w:tentative="1">
      <w:start w:val="1"/>
      <w:numFmt w:val="lowerLetter"/>
      <w:lvlText w:val="%5."/>
      <w:lvlJc w:val="left"/>
      <w:pPr>
        <w:tabs>
          <w:tab w:val="num" w:pos="3600"/>
        </w:tabs>
        <w:ind w:left="3600" w:hanging="360"/>
      </w:pPr>
    </w:lvl>
    <w:lvl w:ilvl="5" w:tplc="14346BC0" w:tentative="1">
      <w:start w:val="1"/>
      <w:numFmt w:val="lowerLetter"/>
      <w:lvlText w:val="%6."/>
      <w:lvlJc w:val="left"/>
      <w:pPr>
        <w:tabs>
          <w:tab w:val="num" w:pos="4320"/>
        </w:tabs>
        <w:ind w:left="4320" w:hanging="360"/>
      </w:pPr>
    </w:lvl>
    <w:lvl w:ilvl="6" w:tplc="207238F6" w:tentative="1">
      <w:start w:val="1"/>
      <w:numFmt w:val="lowerLetter"/>
      <w:lvlText w:val="%7."/>
      <w:lvlJc w:val="left"/>
      <w:pPr>
        <w:tabs>
          <w:tab w:val="num" w:pos="5040"/>
        </w:tabs>
        <w:ind w:left="5040" w:hanging="360"/>
      </w:pPr>
    </w:lvl>
    <w:lvl w:ilvl="7" w:tplc="8E52823A" w:tentative="1">
      <w:start w:val="1"/>
      <w:numFmt w:val="lowerLetter"/>
      <w:lvlText w:val="%8."/>
      <w:lvlJc w:val="left"/>
      <w:pPr>
        <w:tabs>
          <w:tab w:val="num" w:pos="5760"/>
        </w:tabs>
        <w:ind w:left="5760" w:hanging="360"/>
      </w:pPr>
    </w:lvl>
    <w:lvl w:ilvl="8" w:tplc="6EB454CC" w:tentative="1">
      <w:start w:val="1"/>
      <w:numFmt w:val="lowerLetter"/>
      <w:lvlText w:val="%9."/>
      <w:lvlJc w:val="left"/>
      <w:pPr>
        <w:tabs>
          <w:tab w:val="num" w:pos="6480"/>
        </w:tabs>
        <w:ind w:left="6480" w:hanging="360"/>
      </w:pPr>
    </w:lvl>
  </w:abstractNum>
  <w:abstractNum w:abstractNumId="5">
    <w:nsid w:val="4CBE49DB"/>
    <w:multiLevelType w:val="hybridMultilevel"/>
    <w:tmpl w:val="42761A84"/>
    <w:lvl w:ilvl="0" w:tplc="A3047DDA">
      <w:start w:val="1"/>
      <w:numFmt w:val="decimal"/>
      <w:lvlText w:val="%1."/>
      <w:lvlJc w:val="left"/>
      <w:pPr>
        <w:tabs>
          <w:tab w:val="num" w:pos="720"/>
        </w:tabs>
        <w:ind w:left="720" w:hanging="360"/>
      </w:pPr>
    </w:lvl>
    <w:lvl w:ilvl="1" w:tplc="97E8389C" w:tentative="1">
      <w:start w:val="1"/>
      <w:numFmt w:val="decimal"/>
      <w:lvlText w:val="%2."/>
      <w:lvlJc w:val="left"/>
      <w:pPr>
        <w:tabs>
          <w:tab w:val="num" w:pos="1440"/>
        </w:tabs>
        <w:ind w:left="1440" w:hanging="360"/>
      </w:pPr>
    </w:lvl>
    <w:lvl w:ilvl="2" w:tplc="2F7617E4" w:tentative="1">
      <w:start w:val="1"/>
      <w:numFmt w:val="decimal"/>
      <w:lvlText w:val="%3."/>
      <w:lvlJc w:val="left"/>
      <w:pPr>
        <w:tabs>
          <w:tab w:val="num" w:pos="2160"/>
        </w:tabs>
        <w:ind w:left="2160" w:hanging="360"/>
      </w:pPr>
    </w:lvl>
    <w:lvl w:ilvl="3" w:tplc="013E04E2" w:tentative="1">
      <w:start w:val="1"/>
      <w:numFmt w:val="decimal"/>
      <w:lvlText w:val="%4."/>
      <w:lvlJc w:val="left"/>
      <w:pPr>
        <w:tabs>
          <w:tab w:val="num" w:pos="2880"/>
        </w:tabs>
        <w:ind w:left="2880" w:hanging="360"/>
      </w:pPr>
    </w:lvl>
    <w:lvl w:ilvl="4" w:tplc="BDD882F8" w:tentative="1">
      <w:start w:val="1"/>
      <w:numFmt w:val="decimal"/>
      <w:lvlText w:val="%5."/>
      <w:lvlJc w:val="left"/>
      <w:pPr>
        <w:tabs>
          <w:tab w:val="num" w:pos="3600"/>
        </w:tabs>
        <w:ind w:left="3600" w:hanging="360"/>
      </w:pPr>
    </w:lvl>
    <w:lvl w:ilvl="5" w:tplc="F364D48A" w:tentative="1">
      <w:start w:val="1"/>
      <w:numFmt w:val="decimal"/>
      <w:lvlText w:val="%6."/>
      <w:lvlJc w:val="left"/>
      <w:pPr>
        <w:tabs>
          <w:tab w:val="num" w:pos="4320"/>
        </w:tabs>
        <w:ind w:left="4320" w:hanging="360"/>
      </w:pPr>
    </w:lvl>
    <w:lvl w:ilvl="6" w:tplc="481CAEE0" w:tentative="1">
      <w:start w:val="1"/>
      <w:numFmt w:val="decimal"/>
      <w:lvlText w:val="%7."/>
      <w:lvlJc w:val="left"/>
      <w:pPr>
        <w:tabs>
          <w:tab w:val="num" w:pos="5040"/>
        </w:tabs>
        <w:ind w:left="5040" w:hanging="360"/>
      </w:pPr>
    </w:lvl>
    <w:lvl w:ilvl="7" w:tplc="714E3922" w:tentative="1">
      <w:start w:val="1"/>
      <w:numFmt w:val="decimal"/>
      <w:lvlText w:val="%8."/>
      <w:lvlJc w:val="left"/>
      <w:pPr>
        <w:tabs>
          <w:tab w:val="num" w:pos="5760"/>
        </w:tabs>
        <w:ind w:left="5760" w:hanging="360"/>
      </w:pPr>
    </w:lvl>
    <w:lvl w:ilvl="8" w:tplc="5E9E6FBE" w:tentative="1">
      <w:start w:val="1"/>
      <w:numFmt w:val="decimal"/>
      <w:lvlText w:val="%9."/>
      <w:lvlJc w:val="left"/>
      <w:pPr>
        <w:tabs>
          <w:tab w:val="num" w:pos="6480"/>
        </w:tabs>
        <w:ind w:left="6480" w:hanging="360"/>
      </w:pPr>
    </w:lvl>
  </w:abstractNum>
  <w:abstractNum w:abstractNumId="6">
    <w:nsid w:val="4CCA340F"/>
    <w:multiLevelType w:val="hybridMultilevel"/>
    <w:tmpl w:val="CE80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E42BA"/>
    <w:multiLevelType w:val="hybridMultilevel"/>
    <w:tmpl w:val="6768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D450A"/>
    <w:multiLevelType w:val="hybridMultilevel"/>
    <w:tmpl w:val="CE80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86"/>
    <w:rsid w:val="00046C33"/>
    <w:rsid w:val="000A4469"/>
    <w:rsid w:val="000B27B0"/>
    <w:rsid w:val="00107B86"/>
    <w:rsid w:val="00293D60"/>
    <w:rsid w:val="002D26D2"/>
    <w:rsid w:val="002F5131"/>
    <w:rsid w:val="00341705"/>
    <w:rsid w:val="003A3065"/>
    <w:rsid w:val="00406096"/>
    <w:rsid w:val="00467C47"/>
    <w:rsid w:val="00490E1C"/>
    <w:rsid w:val="005262A0"/>
    <w:rsid w:val="00537400"/>
    <w:rsid w:val="00567064"/>
    <w:rsid w:val="005F2630"/>
    <w:rsid w:val="00621F41"/>
    <w:rsid w:val="007423E6"/>
    <w:rsid w:val="007E4668"/>
    <w:rsid w:val="008047FE"/>
    <w:rsid w:val="00857DCF"/>
    <w:rsid w:val="008646A3"/>
    <w:rsid w:val="00935CA3"/>
    <w:rsid w:val="009D40F2"/>
    <w:rsid w:val="009E0D1E"/>
    <w:rsid w:val="00A33806"/>
    <w:rsid w:val="00A62348"/>
    <w:rsid w:val="00AA5909"/>
    <w:rsid w:val="00B51DA5"/>
    <w:rsid w:val="00B53D59"/>
    <w:rsid w:val="00BD7C1A"/>
    <w:rsid w:val="00BE5CC5"/>
    <w:rsid w:val="00BF7637"/>
    <w:rsid w:val="00C05B56"/>
    <w:rsid w:val="00C30F78"/>
    <w:rsid w:val="00C82A88"/>
    <w:rsid w:val="00C85C26"/>
    <w:rsid w:val="00CE4F2C"/>
    <w:rsid w:val="00D74E91"/>
    <w:rsid w:val="00DE22E6"/>
    <w:rsid w:val="00DF2738"/>
    <w:rsid w:val="00E419A0"/>
    <w:rsid w:val="00E61C45"/>
    <w:rsid w:val="00EB7F9F"/>
    <w:rsid w:val="00F02316"/>
    <w:rsid w:val="00F86B66"/>
    <w:rsid w:val="00FB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C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4F2C"/>
    <w:pPr>
      <w:keepNext/>
      <w:keepLines/>
      <w:spacing w:before="480" w:after="0"/>
      <w:outlineLvl w:val="0"/>
    </w:pPr>
    <w:rPr>
      <w:rFonts w:asciiTheme="majorHAnsi" w:eastAsiaTheme="majorEastAsia" w:hAnsiTheme="majorHAnsi" w:cstheme="majorBidi"/>
      <w:b/>
      <w:bCs/>
      <w:color w:val="AE0D00" w:themeColor="accent1" w:themeShade="BF"/>
      <w:sz w:val="28"/>
      <w:szCs w:val="28"/>
    </w:rPr>
  </w:style>
  <w:style w:type="paragraph" w:styleId="Heading2">
    <w:name w:val="heading 2"/>
    <w:basedOn w:val="Normal"/>
    <w:next w:val="Normal"/>
    <w:link w:val="Heading2Char"/>
    <w:uiPriority w:val="9"/>
    <w:semiHidden/>
    <w:unhideWhenUsed/>
    <w:qFormat/>
    <w:rsid w:val="00CE4F2C"/>
    <w:pPr>
      <w:keepNext/>
      <w:keepLines/>
      <w:spacing w:before="200" w:after="0"/>
      <w:outlineLvl w:val="1"/>
    </w:pPr>
    <w:rPr>
      <w:rFonts w:asciiTheme="majorHAnsi" w:eastAsiaTheme="majorEastAsia" w:hAnsiTheme="majorHAnsi" w:cstheme="majorBidi"/>
      <w:b/>
      <w:bCs/>
      <w:color w:val="E912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2C"/>
    <w:rPr>
      <w:rFonts w:asciiTheme="majorHAnsi" w:eastAsiaTheme="majorEastAsia" w:hAnsiTheme="majorHAnsi" w:cstheme="majorBidi"/>
      <w:b/>
      <w:bCs/>
      <w:color w:val="AE0D00" w:themeColor="accent1" w:themeShade="BF"/>
      <w:sz w:val="28"/>
      <w:szCs w:val="28"/>
    </w:rPr>
  </w:style>
  <w:style w:type="character" w:customStyle="1" w:styleId="Heading2Char">
    <w:name w:val="Heading 2 Char"/>
    <w:basedOn w:val="DefaultParagraphFont"/>
    <w:link w:val="Heading2"/>
    <w:uiPriority w:val="9"/>
    <w:semiHidden/>
    <w:rsid w:val="00CE4F2C"/>
    <w:rPr>
      <w:rFonts w:asciiTheme="majorHAnsi" w:eastAsiaTheme="majorEastAsia" w:hAnsiTheme="majorHAnsi" w:cstheme="majorBidi"/>
      <w:b/>
      <w:bCs/>
      <w:color w:val="E91201" w:themeColor="accent1"/>
      <w:sz w:val="26"/>
      <w:szCs w:val="26"/>
    </w:rPr>
  </w:style>
  <w:style w:type="paragraph" w:styleId="TOC1">
    <w:name w:val="toc 1"/>
    <w:basedOn w:val="Normal"/>
    <w:next w:val="Normal"/>
    <w:autoRedefine/>
    <w:uiPriority w:val="39"/>
    <w:semiHidden/>
    <w:unhideWhenUsed/>
    <w:qFormat/>
    <w:rsid w:val="00CE4F2C"/>
    <w:pPr>
      <w:spacing w:after="100"/>
    </w:pPr>
  </w:style>
  <w:style w:type="paragraph" w:styleId="TOC2">
    <w:name w:val="toc 2"/>
    <w:basedOn w:val="Normal"/>
    <w:next w:val="Normal"/>
    <w:autoRedefine/>
    <w:uiPriority w:val="39"/>
    <w:semiHidden/>
    <w:unhideWhenUsed/>
    <w:qFormat/>
    <w:rsid w:val="00CE4F2C"/>
    <w:pPr>
      <w:spacing w:after="100"/>
      <w:ind w:left="220"/>
    </w:pPr>
  </w:style>
  <w:style w:type="paragraph" w:styleId="TOC3">
    <w:name w:val="toc 3"/>
    <w:basedOn w:val="Normal"/>
    <w:next w:val="Normal"/>
    <w:autoRedefine/>
    <w:uiPriority w:val="39"/>
    <w:semiHidden/>
    <w:unhideWhenUsed/>
    <w:qFormat/>
    <w:rsid w:val="00CE4F2C"/>
    <w:pPr>
      <w:spacing w:after="100"/>
      <w:ind w:left="440"/>
    </w:pPr>
  </w:style>
  <w:style w:type="paragraph" w:styleId="TOCHeading">
    <w:name w:val="TOC Heading"/>
    <w:basedOn w:val="Heading1"/>
    <w:next w:val="Normal"/>
    <w:uiPriority w:val="39"/>
    <w:semiHidden/>
    <w:unhideWhenUsed/>
    <w:qFormat/>
    <w:rsid w:val="00CE4F2C"/>
    <w:pPr>
      <w:outlineLvl w:val="9"/>
    </w:pPr>
  </w:style>
  <w:style w:type="paragraph" w:styleId="ListParagraph">
    <w:name w:val="List Paragraph"/>
    <w:basedOn w:val="Normal"/>
    <w:uiPriority w:val="34"/>
    <w:qFormat/>
    <w:rsid w:val="00AA5909"/>
    <w:pPr>
      <w:ind w:left="720"/>
      <w:contextualSpacing/>
    </w:pPr>
  </w:style>
  <w:style w:type="paragraph" w:styleId="FootnoteText">
    <w:name w:val="footnote text"/>
    <w:basedOn w:val="Normal"/>
    <w:link w:val="FootnoteTextChar"/>
    <w:uiPriority w:val="99"/>
    <w:semiHidden/>
    <w:unhideWhenUsed/>
    <w:rsid w:val="00F86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66"/>
    <w:rPr>
      <w:sz w:val="20"/>
      <w:szCs w:val="20"/>
    </w:rPr>
  </w:style>
  <w:style w:type="character" w:styleId="FootnoteReference">
    <w:name w:val="footnote reference"/>
    <w:basedOn w:val="DefaultParagraphFont"/>
    <w:uiPriority w:val="99"/>
    <w:semiHidden/>
    <w:unhideWhenUsed/>
    <w:rsid w:val="00F86B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4F2C"/>
    <w:pPr>
      <w:keepNext/>
      <w:keepLines/>
      <w:spacing w:before="480" w:after="0"/>
      <w:outlineLvl w:val="0"/>
    </w:pPr>
    <w:rPr>
      <w:rFonts w:asciiTheme="majorHAnsi" w:eastAsiaTheme="majorEastAsia" w:hAnsiTheme="majorHAnsi" w:cstheme="majorBidi"/>
      <w:b/>
      <w:bCs/>
      <w:color w:val="AE0D00" w:themeColor="accent1" w:themeShade="BF"/>
      <w:sz w:val="28"/>
      <w:szCs w:val="28"/>
    </w:rPr>
  </w:style>
  <w:style w:type="paragraph" w:styleId="Heading2">
    <w:name w:val="heading 2"/>
    <w:basedOn w:val="Normal"/>
    <w:next w:val="Normal"/>
    <w:link w:val="Heading2Char"/>
    <w:uiPriority w:val="9"/>
    <w:semiHidden/>
    <w:unhideWhenUsed/>
    <w:qFormat/>
    <w:rsid w:val="00CE4F2C"/>
    <w:pPr>
      <w:keepNext/>
      <w:keepLines/>
      <w:spacing w:before="200" w:after="0"/>
      <w:outlineLvl w:val="1"/>
    </w:pPr>
    <w:rPr>
      <w:rFonts w:asciiTheme="majorHAnsi" w:eastAsiaTheme="majorEastAsia" w:hAnsiTheme="majorHAnsi" w:cstheme="majorBidi"/>
      <w:b/>
      <w:bCs/>
      <w:color w:val="E912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2C"/>
    <w:rPr>
      <w:rFonts w:asciiTheme="majorHAnsi" w:eastAsiaTheme="majorEastAsia" w:hAnsiTheme="majorHAnsi" w:cstheme="majorBidi"/>
      <w:b/>
      <w:bCs/>
      <w:color w:val="AE0D00" w:themeColor="accent1" w:themeShade="BF"/>
      <w:sz w:val="28"/>
      <w:szCs w:val="28"/>
    </w:rPr>
  </w:style>
  <w:style w:type="character" w:customStyle="1" w:styleId="Heading2Char">
    <w:name w:val="Heading 2 Char"/>
    <w:basedOn w:val="DefaultParagraphFont"/>
    <w:link w:val="Heading2"/>
    <w:uiPriority w:val="9"/>
    <w:semiHidden/>
    <w:rsid w:val="00CE4F2C"/>
    <w:rPr>
      <w:rFonts w:asciiTheme="majorHAnsi" w:eastAsiaTheme="majorEastAsia" w:hAnsiTheme="majorHAnsi" w:cstheme="majorBidi"/>
      <w:b/>
      <w:bCs/>
      <w:color w:val="E91201" w:themeColor="accent1"/>
      <w:sz w:val="26"/>
      <w:szCs w:val="26"/>
    </w:rPr>
  </w:style>
  <w:style w:type="paragraph" w:styleId="TOC1">
    <w:name w:val="toc 1"/>
    <w:basedOn w:val="Normal"/>
    <w:next w:val="Normal"/>
    <w:autoRedefine/>
    <w:uiPriority w:val="39"/>
    <w:semiHidden/>
    <w:unhideWhenUsed/>
    <w:qFormat/>
    <w:rsid w:val="00CE4F2C"/>
    <w:pPr>
      <w:spacing w:after="100"/>
    </w:pPr>
  </w:style>
  <w:style w:type="paragraph" w:styleId="TOC2">
    <w:name w:val="toc 2"/>
    <w:basedOn w:val="Normal"/>
    <w:next w:val="Normal"/>
    <w:autoRedefine/>
    <w:uiPriority w:val="39"/>
    <w:semiHidden/>
    <w:unhideWhenUsed/>
    <w:qFormat/>
    <w:rsid w:val="00CE4F2C"/>
    <w:pPr>
      <w:spacing w:after="100"/>
      <w:ind w:left="220"/>
    </w:pPr>
  </w:style>
  <w:style w:type="paragraph" w:styleId="TOC3">
    <w:name w:val="toc 3"/>
    <w:basedOn w:val="Normal"/>
    <w:next w:val="Normal"/>
    <w:autoRedefine/>
    <w:uiPriority w:val="39"/>
    <w:semiHidden/>
    <w:unhideWhenUsed/>
    <w:qFormat/>
    <w:rsid w:val="00CE4F2C"/>
    <w:pPr>
      <w:spacing w:after="100"/>
      <w:ind w:left="440"/>
    </w:pPr>
  </w:style>
  <w:style w:type="paragraph" w:styleId="TOCHeading">
    <w:name w:val="TOC Heading"/>
    <w:basedOn w:val="Heading1"/>
    <w:next w:val="Normal"/>
    <w:uiPriority w:val="39"/>
    <w:semiHidden/>
    <w:unhideWhenUsed/>
    <w:qFormat/>
    <w:rsid w:val="00CE4F2C"/>
    <w:pPr>
      <w:outlineLvl w:val="9"/>
    </w:pPr>
  </w:style>
  <w:style w:type="paragraph" w:styleId="ListParagraph">
    <w:name w:val="List Paragraph"/>
    <w:basedOn w:val="Normal"/>
    <w:uiPriority w:val="34"/>
    <w:qFormat/>
    <w:rsid w:val="00AA5909"/>
    <w:pPr>
      <w:ind w:left="720"/>
      <w:contextualSpacing/>
    </w:pPr>
  </w:style>
  <w:style w:type="paragraph" w:styleId="FootnoteText">
    <w:name w:val="footnote text"/>
    <w:basedOn w:val="Normal"/>
    <w:link w:val="FootnoteTextChar"/>
    <w:uiPriority w:val="99"/>
    <w:semiHidden/>
    <w:unhideWhenUsed/>
    <w:rsid w:val="00F86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66"/>
    <w:rPr>
      <w:sz w:val="20"/>
      <w:szCs w:val="20"/>
    </w:rPr>
  </w:style>
  <w:style w:type="character" w:styleId="FootnoteReference">
    <w:name w:val="footnote reference"/>
    <w:basedOn w:val="DefaultParagraphFont"/>
    <w:uiPriority w:val="99"/>
    <w:semiHidden/>
    <w:unhideWhenUsed/>
    <w:rsid w:val="00F86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912">
      <w:bodyDiv w:val="1"/>
      <w:marLeft w:val="0"/>
      <w:marRight w:val="0"/>
      <w:marTop w:val="0"/>
      <w:marBottom w:val="0"/>
      <w:divBdr>
        <w:top w:val="none" w:sz="0" w:space="0" w:color="auto"/>
        <w:left w:val="none" w:sz="0" w:space="0" w:color="auto"/>
        <w:bottom w:val="none" w:sz="0" w:space="0" w:color="auto"/>
        <w:right w:val="none" w:sz="0" w:space="0" w:color="auto"/>
      </w:divBdr>
      <w:divsChild>
        <w:div w:id="1129979482">
          <w:marLeft w:val="360"/>
          <w:marRight w:val="0"/>
          <w:marTop w:val="86"/>
          <w:marBottom w:val="0"/>
          <w:divBdr>
            <w:top w:val="none" w:sz="0" w:space="0" w:color="auto"/>
            <w:left w:val="none" w:sz="0" w:space="0" w:color="auto"/>
            <w:bottom w:val="none" w:sz="0" w:space="0" w:color="auto"/>
            <w:right w:val="none" w:sz="0" w:space="0" w:color="auto"/>
          </w:divBdr>
        </w:div>
        <w:div w:id="1957828848">
          <w:marLeft w:val="360"/>
          <w:marRight w:val="0"/>
          <w:marTop w:val="86"/>
          <w:marBottom w:val="0"/>
          <w:divBdr>
            <w:top w:val="none" w:sz="0" w:space="0" w:color="auto"/>
            <w:left w:val="none" w:sz="0" w:space="0" w:color="auto"/>
            <w:bottom w:val="none" w:sz="0" w:space="0" w:color="auto"/>
            <w:right w:val="none" w:sz="0" w:space="0" w:color="auto"/>
          </w:divBdr>
        </w:div>
        <w:div w:id="1702245864">
          <w:marLeft w:val="360"/>
          <w:marRight w:val="0"/>
          <w:marTop w:val="86"/>
          <w:marBottom w:val="0"/>
          <w:divBdr>
            <w:top w:val="none" w:sz="0" w:space="0" w:color="auto"/>
            <w:left w:val="none" w:sz="0" w:space="0" w:color="auto"/>
            <w:bottom w:val="none" w:sz="0" w:space="0" w:color="auto"/>
            <w:right w:val="none" w:sz="0" w:space="0" w:color="auto"/>
          </w:divBdr>
        </w:div>
        <w:div w:id="363213412">
          <w:marLeft w:val="360"/>
          <w:marRight w:val="0"/>
          <w:marTop w:val="86"/>
          <w:marBottom w:val="0"/>
          <w:divBdr>
            <w:top w:val="none" w:sz="0" w:space="0" w:color="auto"/>
            <w:left w:val="none" w:sz="0" w:space="0" w:color="auto"/>
            <w:bottom w:val="none" w:sz="0" w:space="0" w:color="auto"/>
            <w:right w:val="none" w:sz="0" w:space="0" w:color="auto"/>
          </w:divBdr>
        </w:div>
        <w:div w:id="1850440941">
          <w:marLeft w:val="360"/>
          <w:marRight w:val="0"/>
          <w:marTop w:val="86"/>
          <w:marBottom w:val="0"/>
          <w:divBdr>
            <w:top w:val="none" w:sz="0" w:space="0" w:color="auto"/>
            <w:left w:val="none" w:sz="0" w:space="0" w:color="auto"/>
            <w:bottom w:val="none" w:sz="0" w:space="0" w:color="auto"/>
            <w:right w:val="none" w:sz="0" w:space="0" w:color="auto"/>
          </w:divBdr>
        </w:div>
        <w:div w:id="1850365689">
          <w:marLeft w:val="360"/>
          <w:marRight w:val="0"/>
          <w:marTop w:val="86"/>
          <w:marBottom w:val="0"/>
          <w:divBdr>
            <w:top w:val="none" w:sz="0" w:space="0" w:color="auto"/>
            <w:left w:val="none" w:sz="0" w:space="0" w:color="auto"/>
            <w:bottom w:val="none" w:sz="0" w:space="0" w:color="auto"/>
            <w:right w:val="none" w:sz="0" w:space="0" w:color="auto"/>
          </w:divBdr>
        </w:div>
        <w:div w:id="887112182">
          <w:marLeft w:val="360"/>
          <w:marRight w:val="0"/>
          <w:marTop w:val="86"/>
          <w:marBottom w:val="0"/>
          <w:divBdr>
            <w:top w:val="none" w:sz="0" w:space="0" w:color="auto"/>
            <w:left w:val="none" w:sz="0" w:space="0" w:color="auto"/>
            <w:bottom w:val="none" w:sz="0" w:space="0" w:color="auto"/>
            <w:right w:val="none" w:sz="0" w:space="0" w:color="auto"/>
          </w:divBdr>
        </w:div>
        <w:div w:id="1740519913">
          <w:marLeft w:val="360"/>
          <w:marRight w:val="0"/>
          <w:marTop w:val="86"/>
          <w:marBottom w:val="0"/>
          <w:divBdr>
            <w:top w:val="none" w:sz="0" w:space="0" w:color="auto"/>
            <w:left w:val="none" w:sz="0" w:space="0" w:color="auto"/>
            <w:bottom w:val="none" w:sz="0" w:space="0" w:color="auto"/>
            <w:right w:val="none" w:sz="0" w:space="0" w:color="auto"/>
          </w:divBdr>
        </w:div>
        <w:div w:id="1571767824">
          <w:marLeft w:val="360"/>
          <w:marRight w:val="0"/>
          <w:marTop w:val="86"/>
          <w:marBottom w:val="0"/>
          <w:divBdr>
            <w:top w:val="none" w:sz="0" w:space="0" w:color="auto"/>
            <w:left w:val="none" w:sz="0" w:space="0" w:color="auto"/>
            <w:bottom w:val="none" w:sz="0" w:space="0" w:color="auto"/>
            <w:right w:val="none" w:sz="0" w:space="0" w:color="auto"/>
          </w:divBdr>
        </w:div>
        <w:div w:id="191380137">
          <w:marLeft w:val="360"/>
          <w:marRight w:val="0"/>
          <w:marTop w:val="86"/>
          <w:marBottom w:val="0"/>
          <w:divBdr>
            <w:top w:val="none" w:sz="0" w:space="0" w:color="auto"/>
            <w:left w:val="none" w:sz="0" w:space="0" w:color="auto"/>
            <w:bottom w:val="none" w:sz="0" w:space="0" w:color="auto"/>
            <w:right w:val="none" w:sz="0" w:space="0" w:color="auto"/>
          </w:divBdr>
        </w:div>
        <w:div w:id="469782705">
          <w:marLeft w:val="360"/>
          <w:marRight w:val="0"/>
          <w:marTop w:val="86"/>
          <w:marBottom w:val="0"/>
          <w:divBdr>
            <w:top w:val="none" w:sz="0" w:space="0" w:color="auto"/>
            <w:left w:val="none" w:sz="0" w:space="0" w:color="auto"/>
            <w:bottom w:val="none" w:sz="0" w:space="0" w:color="auto"/>
            <w:right w:val="none" w:sz="0" w:space="0" w:color="auto"/>
          </w:divBdr>
        </w:div>
        <w:div w:id="582763818">
          <w:marLeft w:val="360"/>
          <w:marRight w:val="0"/>
          <w:marTop w:val="86"/>
          <w:marBottom w:val="0"/>
          <w:divBdr>
            <w:top w:val="none" w:sz="0" w:space="0" w:color="auto"/>
            <w:left w:val="none" w:sz="0" w:space="0" w:color="auto"/>
            <w:bottom w:val="none" w:sz="0" w:space="0" w:color="auto"/>
            <w:right w:val="none" w:sz="0" w:space="0" w:color="auto"/>
          </w:divBdr>
        </w:div>
      </w:divsChild>
    </w:div>
    <w:div w:id="2671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E91201"/>
      </a:accent1>
      <a:accent2>
        <a:srgbClr val="7F7F7F"/>
      </a:accent2>
      <a:accent3>
        <a:srgbClr val="7F7F7F"/>
      </a:accent3>
      <a:accent4>
        <a:srgbClr val="7F7F7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C128-04BA-554C-B454-52EAB741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Nicolaas  van Wyk</cp:lastModifiedBy>
  <cp:revision>2</cp:revision>
  <cp:lastPrinted>2015-04-22T05:59:00Z</cp:lastPrinted>
  <dcterms:created xsi:type="dcterms:W3CDTF">2015-08-03T06:30:00Z</dcterms:created>
  <dcterms:modified xsi:type="dcterms:W3CDTF">2015-08-03T06:30:00Z</dcterms:modified>
</cp:coreProperties>
</file>